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71" w:rsidRPr="00D1279D" w:rsidRDefault="00375371" w:rsidP="009940C0">
      <w:pPr>
        <w:spacing w:after="120" w:line="240" w:lineRule="auto"/>
        <w:rPr>
          <w:rFonts w:ascii="Times New Roman" w:hAnsi="Times New Roman" w:cs="Times New Roman"/>
          <w:b/>
          <w:sz w:val="28"/>
          <w:szCs w:val="30"/>
        </w:rPr>
      </w:pPr>
      <w:r w:rsidRPr="00EE1141">
        <w:rPr>
          <w:rFonts w:ascii="Times New Roman" w:hAnsi="Times New Roman" w:cs="Times New Roman"/>
          <w:b/>
          <w:sz w:val="28"/>
          <w:szCs w:val="30"/>
        </w:rPr>
        <w:t xml:space="preserve">Use </w:t>
      </w:r>
      <w:r>
        <w:rPr>
          <w:rFonts w:ascii="Times New Roman" w:hAnsi="Times New Roman" w:cs="Times New Roman"/>
          <w:b/>
          <w:sz w:val="28"/>
          <w:szCs w:val="30"/>
        </w:rPr>
        <w:t>I</w:t>
      </w:r>
      <w:r w:rsidRPr="00EE1141">
        <w:rPr>
          <w:rFonts w:ascii="Times New Roman" w:hAnsi="Times New Roman" w:cs="Times New Roman"/>
          <w:b/>
          <w:sz w:val="28"/>
          <w:szCs w:val="30"/>
        </w:rPr>
        <w:t xml:space="preserve">t or </w:t>
      </w:r>
      <w:r>
        <w:rPr>
          <w:rFonts w:ascii="Times New Roman" w:hAnsi="Times New Roman" w:cs="Times New Roman"/>
          <w:b/>
          <w:sz w:val="28"/>
          <w:szCs w:val="30"/>
        </w:rPr>
        <w:t>L</w:t>
      </w:r>
      <w:r w:rsidRPr="00EE1141">
        <w:rPr>
          <w:rFonts w:ascii="Times New Roman" w:hAnsi="Times New Roman" w:cs="Times New Roman"/>
          <w:b/>
          <w:sz w:val="28"/>
          <w:szCs w:val="30"/>
        </w:rPr>
        <w:t xml:space="preserve">ose </w:t>
      </w:r>
      <w:r>
        <w:rPr>
          <w:rFonts w:ascii="Times New Roman" w:hAnsi="Times New Roman" w:cs="Times New Roman"/>
          <w:b/>
          <w:sz w:val="28"/>
          <w:szCs w:val="30"/>
        </w:rPr>
        <w:t>I</w:t>
      </w:r>
      <w:r w:rsidRPr="00EE1141">
        <w:rPr>
          <w:rFonts w:ascii="Times New Roman" w:hAnsi="Times New Roman" w:cs="Times New Roman"/>
          <w:b/>
          <w:sz w:val="28"/>
          <w:szCs w:val="30"/>
        </w:rPr>
        <w:t xml:space="preserve">t: </w:t>
      </w:r>
      <w:r>
        <w:rPr>
          <w:rFonts w:ascii="Times New Roman" w:hAnsi="Times New Roman" w:cs="Times New Roman"/>
          <w:b/>
          <w:sz w:val="28"/>
          <w:szCs w:val="30"/>
        </w:rPr>
        <w:t>F</w:t>
      </w:r>
      <w:r w:rsidRPr="00EE1141">
        <w:rPr>
          <w:rFonts w:ascii="Times New Roman" w:hAnsi="Times New Roman" w:cs="Times New Roman"/>
          <w:b/>
          <w:sz w:val="28"/>
          <w:szCs w:val="30"/>
        </w:rPr>
        <w:t xml:space="preserve">iscal </w:t>
      </w:r>
      <w:r>
        <w:rPr>
          <w:rFonts w:ascii="Times New Roman" w:hAnsi="Times New Roman" w:cs="Times New Roman"/>
          <w:b/>
          <w:sz w:val="28"/>
          <w:szCs w:val="30"/>
        </w:rPr>
        <w:t>Y</w:t>
      </w:r>
      <w:r w:rsidRPr="00EE1141">
        <w:rPr>
          <w:rFonts w:ascii="Times New Roman" w:hAnsi="Times New Roman" w:cs="Times New Roman"/>
          <w:b/>
          <w:sz w:val="28"/>
          <w:szCs w:val="30"/>
        </w:rPr>
        <w:t xml:space="preserve">ear </w:t>
      </w:r>
      <w:r>
        <w:rPr>
          <w:rFonts w:ascii="Times New Roman" w:hAnsi="Times New Roman" w:cs="Times New Roman"/>
          <w:b/>
          <w:sz w:val="28"/>
          <w:szCs w:val="30"/>
        </w:rPr>
        <w:t>E</w:t>
      </w:r>
      <w:r w:rsidRPr="00EE1141">
        <w:rPr>
          <w:rFonts w:ascii="Times New Roman" w:hAnsi="Times New Roman" w:cs="Times New Roman"/>
          <w:b/>
          <w:sz w:val="28"/>
          <w:szCs w:val="30"/>
        </w:rPr>
        <w:t xml:space="preserve">nd </w:t>
      </w:r>
      <w:r>
        <w:rPr>
          <w:rFonts w:ascii="Times New Roman" w:hAnsi="Times New Roman" w:cs="Times New Roman"/>
          <w:b/>
          <w:sz w:val="28"/>
          <w:szCs w:val="30"/>
        </w:rPr>
        <w:t>C</w:t>
      </w:r>
      <w:r w:rsidRPr="00EE1141">
        <w:rPr>
          <w:rFonts w:ascii="Times New Roman" w:hAnsi="Times New Roman" w:cs="Times New Roman"/>
          <w:b/>
          <w:sz w:val="28"/>
          <w:szCs w:val="30"/>
        </w:rPr>
        <w:t xml:space="preserve">orporate </w:t>
      </w:r>
      <w:r>
        <w:rPr>
          <w:rFonts w:ascii="Times New Roman" w:hAnsi="Times New Roman" w:cs="Times New Roman"/>
          <w:b/>
          <w:sz w:val="28"/>
          <w:szCs w:val="30"/>
        </w:rPr>
        <w:t>I</w:t>
      </w:r>
      <w:r w:rsidRPr="00EE1141">
        <w:rPr>
          <w:rFonts w:ascii="Times New Roman" w:hAnsi="Times New Roman" w:cs="Times New Roman"/>
          <w:b/>
          <w:sz w:val="28"/>
          <w:szCs w:val="30"/>
        </w:rPr>
        <w:t xml:space="preserve">nvestment </w:t>
      </w:r>
      <w:r w:rsidR="00367632">
        <w:rPr>
          <w:rFonts w:ascii="Times New Roman" w:hAnsi="Times New Roman" w:cs="Times New Roman"/>
          <w:b/>
          <w:sz w:val="28"/>
          <w:szCs w:val="30"/>
        </w:rPr>
        <w:t>around</w:t>
      </w:r>
      <w:r w:rsidRPr="00EE1141">
        <w:rPr>
          <w:rFonts w:ascii="Times New Roman" w:hAnsi="Times New Roman" w:cs="Times New Roman"/>
          <w:b/>
          <w:sz w:val="28"/>
          <w:szCs w:val="30"/>
        </w:rPr>
        <w:t xml:space="preserve"> the</w:t>
      </w:r>
      <w:r w:rsidRPr="00D1279D">
        <w:rPr>
          <w:rFonts w:ascii="Times New Roman" w:hAnsi="Times New Roman" w:cs="Times New Roman"/>
          <w:b/>
          <w:sz w:val="28"/>
          <w:szCs w:val="30"/>
        </w:rPr>
        <w:t xml:space="preserve"> World</w:t>
      </w:r>
    </w:p>
    <w:p w:rsidR="00375371" w:rsidRDefault="00375371" w:rsidP="009940C0">
      <w:pPr>
        <w:spacing w:after="120" w:line="360" w:lineRule="auto"/>
        <w:rPr>
          <w:rFonts w:ascii="Times New Roman" w:hAnsi="Times New Roman" w:cs="Times New Roman"/>
          <w:b/>
          <w:sz w:val="32"/>
          <w:szCs w:val="30"/>
        </w:rPr>
      </w:pPr>
    </w:p>
    <w:p w:rsidR="00367632" w:rsidRPr="00D1279D" w:rsidRDefault="00367632" w:rsidP="009940C0">
      <w:pPr>
        <w:spacing w:after="120" w:line="360" w:lineRule="auto"/>
        <w:rPr>
          <w:rFonts w:ascii="Times New Roman" w:hAnsi="Times New Roman" w:cs="Times New Roman"/>
          <w:b/>
          <w:sz w:val="32"/>
          <w:szCs w:val="30"/>
        </w:rPr>
      </w:pPr>
    </w:p>
    <w:p w:rsidR="00375371" w:rsidRPr="00970C35" w:rsidRDefault="00375371" w:rsidP="009940C0">
      <w:pPr>
        <w:spacing w:after="240" w:line="240" w:lineRule="auto"/>
        <w:rPr>
          <w:rFonts w:ascii="Times New Roman" w:hAnsi="Times New Roman" w:cs="Times New Roman"/>
          <w:sz w:val="24"/>
        </w:rPr>
      </w:pPr>
      <w:r w:rsidRPr="00970C35">
        <w:rPr>
          <w:rFonts w:ascii="Times New Roman" w:hAnsi="Times New Roman" w:cs="Times New Roman"/>
          <w:sz w:val="24"/>
        </w:rPr>
        <w:t>Yong H. Kim</w:t>
      </w:r>
      <w:r w:rsidR="009940C0" w:rsidRPr="00970C35">
        <w:rPr>
          <w:rFonts w:ascii="Times New Roman" w:hAnsi="Times New Roman" w:cs="Times New Roman"/>
          <w:sz w:val="24"/>
          <w:vertAlign w:val="superscript"/>
        </w:rPr>
        <w:t>a</w:t>
      </w:r>
      <w:r w:rsidR="00C9546C">
        <w:rPr>
          <w:rFonts w:ascii="Times New Roman" w:hAnsi="Times New Roman" w:cs="Times New Roman"/>
          <w:sz w:val="24"/>
          <w:vertAlign w:val="superscript"/>
        </w:rPr>
        <w:t xml:space="preserve">, </w:t>
      </w:r>
      <w:r w:rsidR="00C9546C">
        <w:rPr>
          <w:rStyle w:val="ac"/>
          <w:rFonts w:ascii="Times New Roman" w:hAnsi="Times New Roman" w:cs="Times New Roman"/>
          <w:sz w:val="24"/>
        </w:rPr>
        <w:footnoteReference w:id="1"/>
      </w:r>
      <w:r w:rsidR="009940C0" w:rsidRPr="00970C35">
        <w:rPr>
          <w:rFonts w:ascii="Times New Roman" w:hAnsi="Times New Roman" w:cs="Times New Roman"/>
          <w:sz w:val="24"/>
        </w:rPr>
        <w:t xml:space="preserve">, </w:t>
      </w:r>
      <w:r w:rsidRPr="00970C35">
        <w:rPr>
          <w:rFonts w:ascii="Times New Roman" w:hAnsi="Times New Roman" w:cs="Times New Roman"/>
          <w:sz w:val="24"/>
        </w:rPr>
        <w:t>Bochen Li</w:t>
      </w:r>
      <w:r w:rsidR="009940C0" w:rsidRPr="00970C35">
        <w:rPr>
          <w:rFonts w:ascii="Times New Roman" w:hAnsi="Times New Roman" w:cs="Times New Roman"/>
          <w:sz w:val="24"/>
          <w:vertAlign w:val="superscript"/>
        </w:rPr>
        <w:t>b</w:t>
      </w:r>
      <w:r w:rsidR="00C9546C" w:rsidRPr="00970C35">
        <w:rPr>
          <w:rFonts w:ascii="Times New Roman" w:hAnsi="Times New Roman" w:cs="Times New Roman"/>
          <w:sz w:val="24"/>
        </w:rPr>
        <w:t xml:space="preserve"> </w:t>
      </w:r>
      <w:r w:rsidR="009940C0" w:rsidRPr="00970C35">
        <w:rPr>
          <w:rFonts w:ascii="Times New Roman" w:hAnsi="Times New Roman" w:cs="Times New Roman"/>
          <w:sz w:val="24"/>
        </w:rPr>
        <w:t xml:space="preserve">, </w:t>
      </w:r>
      <w:r w:rsidRPr="00970C35">
        <w:rPr>
          <w:rFonts w:ascii="Times New Roman" w:hAnsi="Times New Roman" w:cs="Times New Roman"/>
          <w:sz w:val="24"/>
        </w:rPr>
        <w:t>Hyun-Han</w:t>
      </w:r>
      <w:r w:rsidRPr="00970C35">
        <w:rPr>
          <w:rStyle w:val="ac"/>
          <w:rFonts w:ascii="Times New Roman" w:hAnsi="Times New Roman" w:cs="Times New Roman"/>
          <w:sz w:val="24"/>
        </w:rPr>
        <w:t xml:space="preserve"> </w:t>
      </w:r>
      <w:r w:rsidRPr="00970C35">
        <w:rPr>
          <w:rFonts w:ascii="Times New Roman" w:hAnsi="Times New Roman" w:cs="Times New Roman"/>
          <w:sz w:val="24"/>
        </w:rPr>
        <w:t>Shin</w:t>
      </w:r>
      <w:bookmarkStart w:id="0" w:name="_Ref454894944"/>
      <w:r w:rsidR="009940C0" w:rsidRPr="00970C35">
        <w:rPr>
          <w:rFonts w:ascii="Times New Roman" w:hAnsi="Times New Roman" w:cs="Times New Roman"/>
          <w:sz w:val="24"/>
          <w:vertAlign w:val="superscript"/>
        </w:rPr>
        <w:t>c</w:t>
      </w:r>
      <w:bookmarkEnd w:id="0"/>
    </w:p>
    <w:p w:rsidR="00375371" w:rsidRPr="009940C0" w:rsidRDefault="009940C0" w:rsidP="00D927F9">
      <w:pPr>
        <w:spacing w:after="0" w:line="240" w:lineRule="auto"/>
        <w:rPr>
          <w:rFonts w:ascii="Times New Roman" w:hAnsi="Times New Roman" w:cs="Times New Roman"/>
          <w:sz w:val="18"/>
          <w:szCs w:val="18"/>
        </w:rPr>
      </w:pPr>
      <w:r w:rsidRPr="009940C0">
        <w:rPr>
          <w:rFonts w:ascii="Times New Roman" w:hAnsi="Times New Roman" w:cs="Times New Roman"/>
          <w:sz w:val="18"/>
          <w:szCs w:val="18"/>
          <w:vertAlign w:val="superscript"/>
        </w:rPr>
        <w:t>a</w:t>
      </w:r>
      <w:r w:rsidRPr="009940C0">
        <w:rPr>
          <w:rFonts w:ascii="Times New Roman" w:hAnsi="Times New Roman" w:cs="Times New Roman"/>
          <w:sz w:val="18"/>
          <w:szCs w:val="18"/>
        </w:rPr>
        <w:t xml:space="preserve"> </w:t>
      </w:r>
      <w:r>
        <w:rPr>
          <w:rFonts w:ascii="Times New Roman" w:hAnsi="Times New Roman" w:cs="Times New Roman"/>
          <w:sz w:val="18"/>
          <w:szCs w:val="18"/>
        </w:rPr>
        <w:t>Carl H. Lindner College of Business</w:t>
      </w:r>
      <w:r w:rsidRPr="009940C0">
        <w:rPr>
          <w:rFonts w:ascii="Times New Roman" w:hAnsi="Times New Roman" w:cs="Times New Roman"/>
          <w:sz w:val="18"/>
          <w:szCs w:val="18"/>
        </w:rPr>
        <w:t>, University of Cincinnati</w:t>
      </w:r>
      <w:r>
        <w:rPr>
          <w:rFonts w:ascii="Times New Roman" w:hAnsi="Times New Roman" w:cs="Times New Roman"/>
          <w:sz w:val="18"/>
          <w:szCs w:val="18"/>
        </w:rPr>
        <w:t>, Cincinnati, OH 45221</w:t>
      </w:r>
      <w:r w:rsidR="00D927F9">
        <w:rPr>
          <w:rFonts w:ascii="Times New Roman" w:hAnsi="Times New Roman" w:cs="Times New Roman"/>
          <w:sz w:val="18"/>
          <w:szCs w:val="18"/>
        </w:rPr>
        <w:t>, United States</w:t>
      </w:r>
      <w:r w:rsidR="000A6AA2">
        <w:rPr>
          <w:rFonts w:ascii="Times New Roman" w:hAnsi="Times New Roman" w:cs="Times New Roman"/>
          <w:sz w:val="18"/>
          <w:szCs w:val="18"/>
        </w:rPr>
        <w:t>,</w:t>
      </w:r>
      <w:r w:rsidRPr="009940C0">
        <w:rPr>
          <w:rFonts w:ascii="Times New Roman" w:hAnsi="Times New Roman" w:cs="Times New Roman"/>
          <w:sz w:val="18"/>
          <w:szCs w:val="18"/>
        </w:rPr>
        <w:t xml:space="preserve"> E-mail: </w:t>
      </w:r>
      <w:bookmarkStart w:id="1" w:name="_GoBack"/>
      <w:r w:rsidRPr="009940C0">
        <w:rPr>
          <w:rFonts w:ascii="Times New Roman" w:hAnsi="Times New Roman" w:cs="Times New Roman"/>
          <w:sz w:val="18"/>
          <w:szCs w:val="18"/>
        </w:rPr>
        <w:t>kimyh@uc.edu</w:t>
      </w:r>
      <w:bookmarkEnd w:id="1"/>
    </w:p>
    <w:p w:rsidR="009940C0" w:rsidRPr="009940C0" w:rsidRDefault="009940C0" w:rsidP="00D927F9">
      <w:pPr>
        <w:spacing w:after="0" w:line="240" w:lineRule="auto"/>
        <w:rPr>
          <w:rFonts w:ascii="Times New Roman" w:hAnsi="Times New Roman" w:cs="Times New Roman"/>
          <w:sz w:val="18"/>
          <w:szCs w:val="18"/>
        </w:rPr>
      </w:pPr>
      <w:r w:rsidRPr="009940C0">
        <w:rPr>
          <w:rFonts w:ascii="Times New Roman" w:hAnsi="Times New Roman" w:cs="Times New Roman"/>
          <w:sz w:val="18"/>
          <w:szCs w:val="18"/>
          <w:vertAlign w:val="superscript"/>
        </w:rPr>
        <w:t>b</w:t>
      </w:r>
      <w:r w:rsidRPr="009940C0">
        <w:rPr>
          <w:rFonts w:ascii="Times New Roman" w:hAnsi="Times New Roman" w:cs="Times New Roman"/>
          <w:sz w:val="18"/>
          <w:szCs w:val="18"/>
        </w:rPr>
        <w:t xml:space="preserve"> </w:t>
      </w:r>
      <w:r>
        <w:rPr>
          <w:rFonts w:ascii="Times New Roman" w:hAnsi="Times New Roman" w:cs="Times New Roman"/>
          <w:sz w:val="18"/>
          <w:szCs w:val="18"/>
        </w:rPr>
        <w:t>Carl H. Lindner College of Business</w:t>
      </w:r>
      <w:r w:rsidRPr="009940C0">
        <w:rPr>
          <w:rFonts w:ascii="Times New Roman" w:hAnsi="Times New Roman" w:cs="Times New Roman"/>
          <w:sz w:val="18"/>
          <w:szCs w:val="18"/>
        </w:rPr>
        <w:t>, University of Cincinnati</w:t>
      </w:r>
      <w:r w:rsidR="00D927F9">
        <w:rPr>
          <w:rFonts w:ascii="Times New Roman" w:hAnsi="Times New Roman" w:cs="Times New Roman"/>
          <w:sz w:val="18"/>
          <w:szCs w:val="18"/>
        </w:rPr>
        <w:t>, Cincinnati, OH 45221, United States</w:t>
      </w:r>
      <w:r w:rsidR="000A6AA2">
        <w:rPr>
          <w:rFonts w:ascii="Times New Roman" w:hAnsi="Times New Roman" w:cs="Times New Roman"/>
          <w:sz w:val="18"/>
          <w:szCs w:val="18"/>
        </w:rPr>
        <w:t>,</w:t>
      </w:r>
      <w:r w:rsidR="00D927F9" w:rsidRPr="009940C0">
        <w:rPr>
          <w:rFonts w:ascii="Times New Roman" w:hAnsi="Times New Roman" w:cs="Times New Roman"/>
          <w:sz w:val="18"/>
          <w:szCs w:val="18"/>
        </w:rPr>
        <w:t xml:space="preserve"> </w:t>
      </w:r>
      <w:r w:rsidRPr="009940C0">
        <w:rPr>
          <w:rFonts w:ascii="Times New Roman" w:hAnsi="Times New Roman" w:cs="Times New Roman"/>
          <w:sz w:val="18"/>
          <w:szCs w:val="18"/>
        </w:rPr>
        <w:t>E-mail: libh@mail.uc.edu</w:t>
      </w:r>
    </w:p>
    <w:p w:rsidR="009940C0" w:rsidRPr="009940C0" w:rsidRDefault="009940C0" w:rsidP="009940C0">
      <w:pPr>
        <w:spacing w:after="120" w:line="240" w:lineRule="auto"/>
        <w:rPr>
          <w:rFonts w:ascii="Times New Roman" w:hAnsi="Times New Roman" w:cs="Times New Roman"/>
          <w:sz w:val="18"/>
          <w:szCs w:val="18"/>
        </w:rPr>
      </w:pPr>
      <w:r w:rsidRPr="009940C0">
        <w:rPr>
          <w:rFonts w:ascii="Times New Roman" w:hAnsi="Times New Roman" w:cs="Times New Roman"/>
          <w:sz w:val="18"/>
          <w:szCs w:val="18"/>
          <w:vertAlign w:val="superscript"/>
        </w:rPr>
        <w:t>c</w:t>
      </w:r>
      <w:r w:rsidRPr="009940C0">
        <w:rPr>
          <w:rFonts w:ascii="Times New Roman" w:hAnsi="Times New Roman" w:cs="Times New Roman"/>
          <w:sz w:val="18"/>
          <w:szCs w:val="18"/>
        </w:rPr>
        <w:t xml:space="preserve"> School of Business, Yonsei University</w:t>
      </w:r>
      <w:r>
        <w:rPr>
          <w:rFonts w:ascii="Times New Roman" w:hAnsi="Times New Roman" w:cs="Times New Roman"/>
          <w:sz w:val="18"/>
          <w:szCs w:val="18"/>
        </w:rPr>
        <w:t xml:space="preserve">, </w:t>
      </w:r>
      <w:r w:rsidRPr="009940C0">
        <w:rPr>
          <w:rFonts w:ascii="Times New Roman" w:hAnsi="Times New Roman" w:cs="Times New Roman"/>
          <w:sz w:val="18"/>
          <w:szCs w:val="18"/>
        </w:rPr>
        <w:t>Seoul 120-749, Republic of Korea</w:t>
      </w:r>
      <w:r w:rsidR="000A6AA2">
        <w:rPr>
          <w:rFonts w:ascii="Times New Roman" w:hAnsi="Times New Roman" w:cs="Times New Roman"/>
          <w:sz w:val="18"/>
          <w:szCs w:val="18"/>
        </w:rPr>
        <w:t>,</w:t>
      </w:r>
      <w:r w:rsidRPr="009940C0">
        <w:rPr>
          <w:rFonts w:ascii="Times New Roman" w:hAnsi="Times New Roman" w:cs="Times New Roman"/>
          <w:sz w:val="18"/>
          <w:szCs w:val="18"/>
        </w:rPr>
        <w:t xml:space="preserve"> Email: </w:t>
      </w:r>
      <w:r w:rsidR="00F004AD" w:rsidRPr="00F004AD">
        <w:rPr>
          <w:rFonts w:ascii="Times New Roman" w:hAnsi="Times New Roman" w:cs="Times New Roman"/>
          <w:sz w:val="18"/>
          <w:szCs w:val="18"/>
        </w:rPr>
        <w:t>hanshin@yonsei.ac.kr</w:t>
      </w:r>
    </w:p>
    <w:p w:rsidR="00375371" w:rsidRDefault="00375371" w:rsidP="009940C0">
      <w:pPr>
        <w:spacing w:after="120" w:line="240" w:lineRule="auto"/>
        <w:rPr>
          <w:rFonts w:ascii="Times New Roman" w:hAnsi="Times New Roman" w:cs="Times New Roman"/>
          <w:sz w:val="24"/>
        </w:rPr>
      </w:pPr>
    </w:p>
    <w:p w:rsidR="00367632" w:rsidRDefault="00367632" w:rsidP="009940C0">
      <w:pPr>
        <w:spacing w:after="120" w:line="240" w:lineRule="auto"/>
        <w:rPr>
          <w:rFonts w:ascii="Times New Roman" w:hAnsi="Times New Roman" w:cs="Times New Roman"/>
          <w:sz w:val="24"/>
        </w:rPr>
      </w:pPr>
    </w:p>
    <w:p w:rsidR="00367632" w:rsidRDefault="00367632" w:rsidP="009940C0">
      <w:pPr>
        <w:spacing w:after="120" w:line="240" w:lineRule="auto"/>
        <w:rPr>
          <w:rFonts w:ascii="Times New Roman" w:hAnsi="Times New Roman" w:cs="Times New Roman"/>
          <w:sz w:val="24"/>
        </w:rPr>
      </w:pPr>
    </w:p>
    <w:p w:rsidR="00367632" w:rsidRPr="00EE1141" w:rsidRDefault="00367632" w:rsidP="009940C0">
      <w:pPr>
        <w:spacing w:after="120" w:line="240" w:lineRule="auto"/>
        <w:rPr>
          <w:rFonts w:ascii="Times New Roman" w:hAnsi="Times New Roman" w:cs="Times New Roman"/>
          <w:sz w:val="24"/>
        </w:rPr>
      </w:pPr>
    </w:p>
    <w:p w:rsidR="00375371" w:rsidRPr="00EE1141" w:rsidRDefault="00375371" w:rsidP="009940C0">
      <w:pPr>
        <w:spacing w:after="120" w:line="360" w:lineRule="auto"/>
        <w:rPr>
          <w:rFonts w:ascii="Times New Roman" w:hAnsi="Times New Roman" w:cs="Times New Roman"/>
          <w:b/>
          <w:sz w:val="24"/>
        </w:rPr>
      </w:pPr>
      <w:r w:rsidRPr="00EE1141">
        <w:rPr>
          <w:rFonts w:ascii="Times New Roman" w:hAnsi="Times New Roman" w:cs="Times New Roman"/>
          <w:b/>
          <w:sz w:val="24"/>
        </w:rPr>
        <w:t>Abstract</w:t>
      </w:r>
    </w:p>
    <w:p w:rsidR="00115919" w:rsidRPr="00EE1141" w:rsidRDefault="00115919" w:rsidP="00115919">
      <w:pPr>
        <w:spacing w:after="0" w:line="360" w:lineRule="auto"/>
        <w:jc w:val="both"/>
        <w:rPr>
          <w:rFonts w:ascii="Times New Roman" w:hAnsi="Times New Roman" w:cs="Times New Roman"/>
        </w:rPr>
      </w:pPr>
      <w:r w:rsidRPr="00A15F65">
        <w:rPr>
          <w:rFonts w:ascii="Times New Roman" w:hAnsi="Times New Roman" w:cs="Times New Roman"/>
        </w:rPr>
        <w:t xml:space="preserve">It is documented that companies and government agencies </w:t>
      </w:r>
      <w:r>
        <w:rPr>
          <w:rFonts w:ascii="Times New Roman" w:hAnsi="Times New Roman" w:cs="Times New Roman"/>
        </w:rPr>
        <w:t xml:space="preserve">in the United States </w:t>
      </w:r>
      <w:r w:rsidRPr="00A15F65">
        <w:rPr>
          <w:rFonts w:ascii="Times New Roman" w:hAnsi="Times New Roman" w:cs="Times New Roman"/>
        </w:rPr>
        <w:t xml:space="preserve">invest more in the fourth fiscal quarter without having </w:t>
      </w:r>
      <w:r>
        <w:rPr>
          <w:rFonts w:ascii="Times New Roman" w:hAnsi="Times New Roman" w:cs="Times New Roman"/>
        </w:rPr>
        <w:t>higher investment opportunities.</w:t>
      </w:r>
      <w:r w:rsidRPr="00A15F65">
        <w:rPr>
          <w:rFonts w:ascii="Times New Roman" w:hAnsi="Times New Roman" w:cs="Times New Roman"/>
        </w:rPr>
        <w:t xml:space="preserve"> While previous studies focus on the agency conflicts and information asymmetry within organizations, we</w:t>
      </w:r>
      <w:r>
        <w:rPr>
          <w:rFonts w:ascii="Times New Roman" w:hAnsi="Times New Roman" w:cs="Times New Roman"/>
        </w:rPr>
        <w:t xml:space="preserve"> are motivated by Scharfstein and Stein’s (2000) two-tiered agency model, and</w:t>
      </w:r>
      <w:r w:rsidRPr="00A15F65">
        <w:rPr>
          <w:rFonts w:ascii="Times New Roman" w:hAnsi="Times New Roman" w:cs="Times New Roman"/>
        </w:rPr>
        <w:t xml:space="preserve"> examine how </w:t>
      </w:r>
      <w:r>
        <w:rPr>
          <w:rFonts w:ascii="Times New Roman" w:hAnsi="Times New Roman" w:cs="Times New Roman"/>
        </w:rPr>
        <w:t>firms’</w:t>
      </w:r>
      <w:r w:rsidRPr="00A15F65">
        <w:rPr>
          <w:rFonts w:ascii="Times New Roman" w:hAnsi="Times New Roman" w:cs="Times New Roman"/>
        </w:rPr>
        <w:t xml:space="preserve"> external </w:t>
      </w:r>
      <w:r>
        <w:rPr>
          <w:rFonts w:ascii="Times New Roman" w:hAnsi="Times New Roman" w:cs="Times New Roman"/>
        </w:rPr>
        <w:t xml:space="preserve">business </w:t>
      </w:r>
      <w:r w:rsidRPr="00A15F65">
        <w:rPr>
          <w:rFonts w:ascii="Times New Roman" w:hAnsi="Times New Roman" w:cs="Times New Roman"/>
        </w:rPr>
        <w:t>environment affects th</w:t>
      </w:r>
      <w:r>
        <w:rPr>
          <w:rFonts w:ascii="Times New Roman" w:hAnsi="Times New Roman" w:cs="Times New Roman"/>
        </w:rPr>
        <w:t>e</w:t>
      </w:r>
      <w:r w:rsidRPr="00A15F65">
        <w:rPr>
          <w:rFonts w:ascii="Times New Roman" w:hAnsi="Times New Roman" w:cs="Times New Roman"/>
        </w:rPr>
        <w:t xml:space="preserve"> </w:t>
      </w:r>
      <w:r>
        <w:rPr>
          <w:rFonts w:ascii="Times New Roman" w:hAnsi="Times New Roman" w:cs="Times New Roman"/>
        </w:rPr>
        <w:t>“fourth quarter effect”</w:t>
      </w:r>
      <w:r w:rsidRPr="00A15F65">
        <w:rPr>
          <w:rFonts w:ascii="Times New Roman" w:hAnsi="Times New Roman" w:cs="Times New Roman"/>
        </w:rPr>
        <w:t xml:space="preserve">. </w:t>
      </w:r>
      <w:r w:rsidRPr="00D1279D">
        <w:rPr>
          <w:rFonts w:ascii="Times New Roman" w:hAnsi="Times New Roman" w:cs="Times New Roman"/>
        </w:rPr>
        <w:t xml:space="preserve">We implement our study in </w:t>
      </w:r>
      <w:r>
        <w:rPr>
          <w:rFonts w:ascii="Times New Roman" w:hAnsi="Times New Roman" w:cs="Times New Roman"/>
        </w:rPr>
        <w:t>a sample of 41 countries, a</w:t>
      </w:r>
      <w:r w:rsidRPr="00D1279D">
        <w:rPr>
          <w:rFonts w:ascii="Times New Roman" w:hAnsi="Times New Roman" w:cs="Times New Roman"/>
        </w:rPr>
        <w:t>nd observe similar seasonality in firm investment as documented in the U</w:t>
      </w:r>
      <w:r>
        <w:rPr>
          <w:rFonts w:ascii="Times New Roman" w:hAnsi="Times New Roman" w:cs="Times New Roman"/>
        </w:rPr>
        <w:t>.</w:t>
      </w:r>
      <w:r w:rsidRPr="00D1279D">
        <w:rPr>
          <w:rFonts w:ascii="Times New Roman" w:hAnsi="Times New Roman" w:cs="Times New Roman"/>
        </w:rPr>
        <w:t>S</w:t>
      </w:r>
      <w:r>
        <w:rPr>
          <w:rFonts w:ascii="Times New Roman" w:hAnsi="Times New Roman" w:cs="Times New Roman"/>
        </w:rPr>
        <w:t>.</w:t>
      </w:r>
      <w:r w:rsidRPr="00D1279D">
        <w:rPr>
          <w:rFonts w:ascii="Times New Roman" w:hAnsi="Times New Roman" w:cs="Times New Roman"/>
        </w:rPr>
        <w:t xml:space="preserve"> market. </w:t>
      </w:r>
      <w:r w:rsidRPr="00A15F65">
        <w:rPr>
          <w:rFonts w:ascii="Times New Roman" w:hAnsi="Times New Roman" w:cs="Times New Roman"/>
        </w:rPr>
        <w:t>More importantly, using country characteristics, we find that firms from countries with better investor rights and protection</w:t>
      </w:r>
      <w:r>
        <w:rPr>
          <w:rFonts w:ascii="Times New Roman" w:hAnsi="Times New Roman" w:cs="Times New Roman"/>
        </w:rPr>
        <w:t>, and</w:t>
      </w:r>
      <w:r w:rsidRPr="00A15F65">
        <w:rPr>
          <w:rFonts w:ascii="Times New Roman" w:hAnsi="Times New Roman" w:cs="Times New Roman"/>
        </w:rPr>
        <w:t xml:space="preserve"> more developed financial markets show less severe over-investment in the fourth fiscal quarter.</w:t>
      </w:r>
    </w:p>
    <w:p w:rsidR="00375371" w:rsidRDefault="00375371" w:rsidP="00375371">
      <w:pPr>
        <w:spacing w:after="0" w:line="360" w:lineRule="auto"/>
        <w:jc w:val="both"/>
        <w:rPr>
          <w:rFonts w:ascii="Times New Roman" w:hAnsi="Times New Roman" w:cs="Times New Roman"/>
        </w:rPr>
      </w:pPr>
    </w:p>
    <w:p w:rsidR="00367632" w:rsidRPr="00EE1141" w:rsidRDefault="00367632" w:rsidP="00375371">
      <w:pPr>
        <w:spacing w:after="0" w:line="360" w:lineRule="auto"/>
        <w:jc w:val="both"/>
        <w:rPr>
          <w:rFonts w:ascii="Times New Roman" w:hAnsi="Times New Roman" w:cs="Times New Roman"/>
        </w:rPr>
      </w:pPr>
    </w:p>
    <w:p w:rsidR="00375371" w:rsidRPr="00EE1141" w:rsidRDefault="009342F6" w:rsidP="00375371">
      <w:pPr>
        <w:spacing w:after="0" w:line="480" w:lineRule="auto"/>
        <w:jc w:val="both"/>
        <w:rPr>
          <w:rFonts w:ascii="Times New Roman" w:hAnsi="Times New Roman" w:cs="Times New Roman"/>
        </w:rPr>
      </w:pPr>
      <w:r>
        <w:rPr>
          <w:rFonts w:ascii="Times New Roman" w:hAnsi="Times New Roman" w:cs="Times New Roman"/>
        </w:rPr>
        <w:t>Keywords: I</w:t>
      </w:r>
      <w:r w:rsidR="00375371" w:rsidRPr="00EE1141">
        <w:rPr>
          <w:rFonts w:ascii="Times New Roman" w:hAnsi="Times New Roman" w:cs="Times New Roman"/>
        </w:rPr>
        <w:t xml:space="preserve">nternal capital market, </w:t>
      </w:r>
      <w:r>
        <w:rPr>
          <w:rFonts w:ascii="Times New Roman" w:hAnsi="Times New Roman" w:cs="Times New Roman"/>
        </w:rPr>
        <w:t>A</w:t>
      </w:r>
      <w:r w:rsidR="00375371" w:rsidRPr="00EE1141">
        <w:rPr>
          <w:rFonts w:ascii="Times New Roman" w:hAnsi="Times New Roman" w:cs="Times New Roman"/>
        </w:rPr>
        <w:t>gency theory</w:t>
      </w:r>
      <w:r w:rsidR="00375371">
        <w:rPr>
          <w:rFonts w:ascii="Times New Roman" w:hAnsi="Times New Roman" w:cs="Times New Roman"/>
        </w:rPr>
        <w:t>,</w:t>
      </w:r>
      <w:r w:rsidR="00375371" w:rsidRPr="00EE1141">
        <w:rPr>
          <w:rFonts w:ascii="Times New Roman" w:hAnsi="Times New Roman" w:cs="Times New Roman"/>
        </w:rPr>
        <w:t xml:space="preserve"> </w:t>
      </w:r>
      <w:r>
        <w:rPr>
          <w:rFonts w:ascii="Times New Roman" w:hAnsi="Times New Roman" w:cs="Times New Roman"/>
        </w:rPr>
        <w:t>I</w:t>
      </w:r>
      <w:r w:rsidR="00375371">
        <w:rPr>
          <w:rFonts w:ascii="Times New Roman" w:hAnsi="Times New Roman" w:cs="Times New Roman"/>
        </w:rPr>
        <w:t xml:space="preserve">nternational </w:t>
      </w:r>
      <w:r w:rsidR="00847F7B">
        <w:rPr>
          <w:rFonts w:ascii="Times New Roman" w:hAnsi="Times New Roman" w:cs="Times New Roman"/>
        </w:rPr>
        <w:t>fourth quarter investment</w:t>
      </w:r>
    </w:p>
    <w:p w:rsidR="00367632" w:rsidRDefault="00367632" w:rsidP="00375371">
      <w:pPr>
        <w:spacing w:after="0" w:line="480" w:lineRule="auto"/>
        <w:jc w:val="both"/>
        <w:rPr>
          <w:rFonts w:ascii="Times New Roman" w:hAnsi="Times New Roman" w:cs="Times New Roman"/>
        </w:rPr>
      </w:pPr>
    </w:p>
    <w:p w:rsidR="00375371" w:rsidRPr="00EE1141" w:rsidRDefault="00375371" w:rsidP="00375371">
      <w:pPr>
        <w:spacing w:after="0" w:line="480" w:lineRule="auto"/>
        <w:jc w:val="both"/>
        <w:rPr>
          <w:rFonts w:ascii="Times New Roman" w:hAnsi="Times New Roman" w:cs="Times New Roman"/>
          <w:b/>
          <w:sz w:val="32"/>
          <w:szCs w:val="30"/>
        </w:rPr>
      </w:pPr>
      <w:r w:rsidRPr="00EE1141">
        <w:rPr>
          <w:rFonts w:ascii="Times New Roman" w:hAnsi="Times New Roman" w:cs="Times New Roman"/>
        </w:rPr>
        <w:t>JEL classification: G30, G31</w:t>
      </w:r>
      <w:r>
        <w:rPr>
          <w:rFonts w:ascii="Times New Roman" w:hAnsi="Times New Roman" w:cs="Times New Roman"/>
        </w:rPr>
        <w:t>,</w:t>
      </w:r>
      <w:r w:rsidRPr="00EE1141">
        <w:rPr>
          <w:rFonts w:ascii="Times New Roman" w:hAnsi="Times New Roman" w:cs="Times New Roman"/>
          <w:b/>
          <w:sz w:val="32"/>
          <w:szCs w:val="30"/>
        </w:rPr>
        <w:t xml:space="preserve"> </w:t>
      </w:r>
      <w:r w:rsidRPr="00EE1141">
        <w:rPr>
          <w:rFonts w:ascii="Times New Roman" w:hAnsi="Times New Roman" w:cs="Times New Roman"/>
        </w:rPr>
        <w:t>G15</w:t>
      </w:r>
      <w:r w:rsidRPr="00EE1141">
        <w:rPr>
          <w:rFonts w:ascii="Times New Roman" w:hAnsi="Times New Roman" w:cs="Times New Roman"/>
          <w:b/>
          <w:sz w:val="32"/>
          <w:szCs w:val="30"/>
        </w:rPr>
        <w:br w:type="page"/>
      </w:r>
    </w:p>
    <w:p w:rsidR="00C56961" w:rsidRPr="00970C35" w:rsidRDefault="00C56961" w:rsidP="00C56961">
      <w:pPr>
        <w:spacing w:after="0" w:line="480" w:lineRule="auto"/>
        <w:jc w:val="both"/>
        <w:rPr>
          <w:rFonts w:ascii="Times New Roman" w:hAnsi="Times New Roman" w:cs="Times New Roman"/>
          <w:b/>
        </w:rPr>
      </w:pPr>
      <w:r w:rsidRPr="00970C35">
        <w:rPr>
          <w:rFonts w:ascii="Times New Roman" w:hAnsi="Times New Roman" w:cs="Times New Roman"/>
          <w:b/>
        </w:rPr>
        <w:lastRenderedPageBreak/>
        <w:t>1. Introduction</w:t>
      </w:r>
    </w:p>
    <w:p w:rsidR="00C56961" w:rsidRPr="00970C35" w:rsidRDefault="00C56961" w:rsidP="00C56961">
      <w:pPr>
        <w:spacing w:after="0" w:line="480" w:lineRule="auto"/>
        <w:jc w:val="both"/>
        <w:rPr>
          <w:rFonts w:ascii="Times New Roman" w:hAnsi="Times New Roman" w:cs="Times New Roman"/>
        </w:rPr>
      </w:pPr>
      <w:r w:rsidRPr="00970C35">
        <w:rPr>
          <w:rFonts w:ascii="Times New Roman" w:hAnsi="Times New Roman" w:cs="Times New Roman"/>
        </w:rPr>
        <w:t xml:space="preserve">Internal capital market has been a popular topic in corporate finance since studies such as </w:t>
      </w:r>
      <w:r w:rsidR="001D0229"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"10.1016/0304-405X(84)90023-0", "ISBN" : "0304405X", "ISSN" : "0304405X", "PMID" : "17828689", "abstract" : "This paper considers a firm that must issue common stock to raise cash to undertake a valuable investment opportunity. Management is assumed to know more about the firm's value than potential investors. Investors interpret the firm's actions rationally. An equilibrium model of the issue-invest decision is developed under these assumptions. The model shows that firms may refuse to issue stock, and therefore may pass up valuable investment opportunities. The model suggests explanations for several aspects of corporate financing behavior, including the tendency to rely on internal sources of funds, and to prefer debt to equity if external financing is required. Extensions and applications of the model are discussed.", "author" : [ { "dropping-particle" : "", "family" : "Myers", "given" : "Stewart C.", "non-dropping-particle" : "", "parse-names" : false, "suffix" : "" }, { "dropping-particle" : "", "family" : "Majluf", "given" : "Nicholas S.", "non-dropping-particle" : "", "parse-names" : false, "suffix" : "" } ], "container-title" : "Journal of Financial Economics", "id" : "ITEM-1", "issued" : { "date-parts" : [ [ "1984" ] ] }, "page" : "187-221", "title" : "Corporate financing and investment decisions when firms have information that investors do not have", "type" : "article-journal", "volume" : "13" }, "uris" : [ "http://www.mendeley.com/documents/?uuid=19b135c1-9490-49e2-a1e2-21e7e38037a5" ] } ], "mendeley" : { "formattedCitation" : "Myers and Majluf (1984)", "plainTextFormattedCitation" : "Myers and Majluf (1984)", "previouslyFormattedCitation" : "Myers and Majluf (1984)" }, "properties" : { "noteIndex" : 0 }, "schema" : "https://github.com/citation-style-language/schema/raw/master/csl-citation.json" }</w:instrText>
      </w:r>
      <w:r w:rsidR="001D0229" w:rsidRPr="00970C35">
        <w:rPr>
          <w:rFonts w:ascii="Times New Roman" w:hAnsi="Times New Roman" w:cs="Times New Roman"/>
        </w:rPr>
        <w:fldChar w:fldCharType="separate"/>
      </w:r>
      <w:r w:rsidR="00C462AD" w:rsidRPr="00970C35">
        <w:rPr>
          <w:rFonts w:ascii="Times New Roman" w:hAnsi="Times New Roman" w:cs="Times New Roman"/>
          <w:noProof/>
        </w:rPr>
        <w:t>Myers and Majluf (1984)</w:t>
      </w:r>
      <w:r w:rsidR="001D0229" w:rsidRPr="00970C35">
        <w:rPr>
          <w:rFonts w:ascii="Times New Roman" w:hAnsi="Times New Roman" w:cs="Times New Roman"/>
        </w:rPr>
        <w:fldChar w:fldCharType="end"/>
      </w:r>
      <w:r w:rsidRPr="00970C35">
        <w:rPr>
          <w:rFonts w:ascii="Times New Roman" w:hAnsi="Times New Roman" w:cs="Times New Roman"/>
        </w:rPr>
        <w:t xml:space="preserve"> and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"ISSN" : "00072303", "author" : [ { "dropping-particle" : "", "family" : "Fazzari", "given" : "Steven M", "non-dropping-particle" : "", "parse-names" : false, "suffix" : "" }, { "dropping-particle" : "", "family" : "Hubbard", "given" : "R Glenn", "non-dropping-particle" : "", "parse-names" : false, "suffix" : "" }, { "dropping-particle" : "", "family" : "Petersen", "given" : "Bruce C", "non-dropping-particle" : "", "parse-names" : false, "suffix" : "" }, { "dropping-particle" : "", "family" : "Blinder", "given" : "Alan S", "non-dropping-particle" : "", "parse-names" : false, "suffix" : "" }, { "dropping-particle" : "", "family" : "James", "given" : "M", "non-dropping-particle" : "", "parse-names" : false, "suffix" : "" } ], "container-title" : "Brookings Papers on Economic Activity", "id" : "ITEM-1", "issued" : { "date-parts" : [ [ "1988" ] ] }, "page" : "141-206", "title" : "Financing Corporate Constraints Investment", "type" : "article-journal", "volume" : "1" }, "uris" : [ "http://www.mendeley.com/documents/?uuid=7b8dc4c9-e92c-4080-bef3-1fb127113ad1" ] } ], "mendeley" : { "formattedCitation" : "Fazzari et al. (1988)", "plainTextFormattedCitation" : "Fazzari et al. (1988)", "previouslyFormattedCitation" : "Fazzari et al. (1988)"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Fazzari et al. (1988)</w:t>
      </w:r>
      <w:r w:rsidRPr="00970C35">
        <w:rPr>
          <w:rFonts w:ascii="Times New Roman" w:hAnsi="Times New Roman" w:cs="Times New Roman"/>
        </w:rPr>
        <w:fldChar w:fldCharType="end"/>
      </w:r>
      <w:r w:rsidR="00115919" w:rsidRPr="00970C35">
        <w:rPr>
          <w:rFonts w:ascii="Times New Roman" w:hAnsi="Times New Roman" w:cs="Times New Roman"/>
        </w:rPr>
        <w:t xml:space="preserve"> posited</w:t>
      </w:r>
      <w:r w:rsidRPr="00970C35">
        <w:rPr>
          <w:rFonts w:ascii="Times New Roman" w:hAnsi="Times New Roman" w:cs="Times New Roman"/>
        </w:rPr>
        <w:t xml:space="preserve"> that firms rely on internal capital when they face financial constraint because external and internal financing are not perfect substitutes.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"10.2307/2329390", "ISBN" : "00221082", "ISSN" : "0022-1082", "PMID" : "9704101528", "abstract" : "We study the capital allocation process within firms. Observed budgeting processes are explained as a response to decentralized information and incentive problems. It is shown that these imperfections can result in under investment when capital productivity is high and overinvestment when it is low. We also investigate how the budgeting process may be expected to vary with firm or division characteristics such as investment opportunities and the technology for information transfer. ABSTRACT FROM AUTHOR", "author" : [ { "dropping-particle" : "", "family" : "Harris", "given" : "Milton", "non-dropping-particle" : "", "parse-names" : false, "suffix" : "" }, { "dropping-particle" : "", "family" : "Raviv", "given" : "Arthur", "non-dropping-particle" : "", "parse-names" : false, "suffix" : "" } ], "container-title" : "Journal of Finance", "id" : "ITEM-1", "issue" : "4", "issued" : { "date-parts" : [ [ "1996" ] ] }, "page" : "1139", "title" : "The Capital Budgeting Process: Incentives and Information", "type" : "article-journal", "volume" : "51" }, "uris" : [ "http://www.mendeley.com/documents/?uuid=e7e11328-d21a-495f-a866-37ee9e0c8519" ] }, { "id" : "ITEM-2", "itemData" : { "DOI" : "10.1016/S0304-405X(98)00038-5", "ISBN" : "0304-405X", "ISSN" : "0304405X", "abstract" : "As part of our ongoing research into capital budgeting processes as\\nresponses to decentralized information and incentive problems, we\\nfocus in this paper on when a level of a managerial hierarchy will\\ndelegate the allocation of capital across projects and time to the\\nlevel below it. In our model, delegation is a way to save on costly\\ninvestigation of proposed projects. Therefore, it is more extensive\\nthe larger are the costs of such investigations. This delegation\\ntakes advantage of the fact that the lower-level manager's preferences\\nare assumed to be similar (though not identical) to those of the\\nhigher level. [ABSTRACT FROM AUTHOR]", "author" : [ { "dropping-particle" : "", "family" : "Harris", "given" : "Milton", "non-dropping-particle" : "", "parse-names" : false, "suffix" : "" }, { "dropping-particle" : "", "family" : "Raviv", "given" : "Arthur", "non-dropping-particle" : "", "parse-names" : false, "suffix" : "" } ], "container-title" : "Journal of Financial Economics", "id" : "ITEM-2", "issued" : { "date-parts" : [ [ "1998" ] ] }, "page" : "259-289", "title" : "Capital budgeting and delegation.", "type" : "article-journal", "volume" : "50" }, "uris" : [ "http://www.mendeley.com/documents/?uuid=33d02991-5865-403c-91cc-d9b3343b1316" ] } ], "mendeley" : { "formattedCitation" : "Harris and Raviv (1996), Harris and Raviv (1998)", "manualFormatting" : "Harris and Raviv (1996, 1998)", "plainTextFormattedCitation" : "Harris and Raviv (1996), Harris and Raviv (1998)", "previouslyFormattedCitation" : "Harris and Raviv (1996), Harris and Raviv (1998)" }, "properties" : { "noteIndex" : 0 }, "schema" : "https://github.com/citation-style-language/schema/raw/master/csl-citation.json" }</w:instrText>
      </w:r>
      <w:r w:rsidRPr="00970C35">
        <w:rPr>
          <w:rFonts w:ascii="Times New Roman" w:hAnsi="Times New Roman" w:cs="Times New Roman"/>
        </w:rPr>
        <w:fldChar w:fldCharType="separate"/>
      </w:r>
      <w:r w:rsidRPr="00970C35">
        <w:rPr>
          <w:rFonts w:ascii="Times New Roman" w:hAnsi="Times New Roman" w:cs="Times New Roman"/>
          <w:noProof/>
        </w:rPr>
        <w:t>Harris and Raviv (1996, 1998)</w:t>
      </w:r>
      <w:r w:rsidRPr="00970C35">
        <w:rPr>
          <w:rFonts w:ascii="Times New Roman" w:hAnsi="Times New Roman" w:cs="Times New Roman"/>
        </w:rPr>
        <w:fldChar w:fldCharType="end"/>
      </w:r>
      <w:r w:rsidRPr="00970C35">
        <w:rPr>
          <w:rFonts w:ascii="Times New Roman" w:hAnsi="Times New Roman" w:cs="Times New Roman"/>
        </w:rPr>
        <w:t xml:space="preserve"> are among the first to study internal capital market in the context of capital allocation among divisions. In their model, </w:t>
      </w:r>
      <w:r w:rsidR="00115919" w:rsidRPr="00970C35">
        <w:rPr>
          <w:rFonts w:ascii="Times New Roman" w:hAnsi="Times New Roman" w:cs="Times New Roman"/>
        </w:rPr>
        <w:t xml:space="preserve">a </w:t>
      </w:r>
      <w:r w:rsidRPr="00970C35">
        <w:rPr>
          <w:rFonts w:ascii="Times New Roman" w:hAnsi="Times New Roman" w:cs="Times New Roman"/>
        </w:rPr>
        <w:t xml:space="preserve">firm’s headquarters has control over budget allocation, but divisional managers have better information about profitability and investment opportunities of their own divisions. In addition to information asymmetry, there are conflicts of interest between firm’s headquarters and divisions because their interests are not perfectly aligned. As a result, </w:t>
      </w:r>
      <w:r w:rsidR="00115919" w:rsidRPr="00970C35">
        <w:rPr>
          <w:rFonts w:ascii="Times New Roman" w:hAnsi="Times New Roman" w:cs="Times New Roman"/>
        </w:rPr>
        <w:t xml:space="preserve">the </w:t>
      </w:r>
      <w:r w:rsidRPr="00970C35">
        <w:rPr>
          <w:rFonts w:ascii="Times New Roman" w:hAnsi="Times New Roman" w:cs="Times New Roman"/>
        </w:rPr>
        <w:t xml:space="preserve">headquarters may make suboptimal capital allocation decisions: some divisions with good projects may not receive the budget they deserve while those without good projects may end up with more than what they need to implement their positive NPV projects. </w:t>
      </w:r>
    </w:p>
    <w:p w:rsidR="00C56961" w:rsidRPr="00970C35" w:rsidRDefault="00C56961" w:rsidP="00C56961">
      <w:pPr>
        <w:spacing w:after="0" w:line="480" w:lineRule="auto"/>
        <w:ind w:firstLine="288"/>
        <w:jc w:val="both"/>
        <w:rPr>
          <w:rFonts w:ascii="Times New Roman" w:hAnsi="Times New Roman" w:cs="Times New Roman"/>
        </w:rPr>
      </w:pPr>
      <w:r w:rsidRPr="00970C35">
        <w:rPr>
          <w:rFonts w:ascii="Times New Roman" w:hAnsi="Times New Roman" w:cs="Times New Roman"/>
        </w:rPr>
        <w:t xml:space="preserve">One particular manifestation of capital allocation inefficiency is documented in the finance and accounting literature.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"10.1016/S0929-1199(01)00033-5", "ISBN" : "0929-1199", "ISSN" : "09291199", "abstract" : "Using the quarterly Compustat files, we present empirical findings that business capital investment is significantly higher in the fourth quarter than in other quarters. Even after controlling for business capital investment determinants, we find that the fourth quarter capital investment is significantly larger but less sensitive to investment opportunities than other quarters' capital investment. This phenomenon is more evident for firms with larger cash holdings than for firms with smaller cash holdings, for larger firms than for smaller firms, and for diversified firms than for stand-alone firms. Our findings suggest a high level of agency costs in corporate investment decisions. ?? 2002 Elsevier Science B.V. All rights reserved.", "author" : [ { "dropping-particle" : "", "family" : "Shin", "given" : "Hyun-Han", "non-dropping-particle" : "", "parse-names" : false, "suffix" : "" }, { "dropping-particle" : "", "family" : "Kim", "given" : "Yong H.", "non-dropping-particle" : "", "parse-names" : false, "suffix" : "" } ], "container-title" : "Journal of Corporate Finance", "id" : "ITEM-1", "issued" : { "date-parts" : [ [ "2002" ] ] }, "page" : "139-158", "title" : "Agency costs and efficiency of business capital investment: Evidence from quarterly capital expenditures", "type" : "article-journal", "volume" : "8" }, "uris" : [ "http://www.mendeley.com/documents/?uuid=1ecc75bf-057a-4382-be94-515f54fd7cd6" ] } ], "mendeley" : { "formattedCitation" : "Shin and Kim (2002)", "plainTextFormattedCitation" : "Shin and Kim (2002)", "previouslyFormattedCitation" : "Shin and Kim (2002)"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Shin and Kim (2002)</w:t>
      </w:r>
      <w:r w:rsidRPr="00970C35">
        <w:rPr>
          <w:rFonts w:ascii="Times New Roman" w:hAnsi="Times New Roman" w:cs="Times New Roman"/>
        </w:rPr>
        <w:fldChar w:fldCharType="end"/>
      </w:r>
      <w:r w:rsidRPr="00970C35">
        <w:rPr>
          <w:rFonts w:ascii="Times New Roman" w:hAnsi="Times New Roman" w:cs="Times New Roman"/>
        </w:rPr>
        <w:t xml:space="preserve">,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"author" : [ { "dropping-particle" : "", "family" : "Callen", "given" : "Jeffrey L.", "non-dropping-particle" : "", "parse-names" : false, "suffix" : "" }, { "dropping-particle" : "", "family" : "Livnat", "given" : "Joshua", "non-dropping-particle" : "", "parse-names" : false, "suffix" : "" }, { "dropping-particle" : "", "family" : "Ryan", "given" : "Stephen G.", "non-dropping-particle" : "", "parse-names" : false, "suffix" : "" } ], "container-title" : "The Journal of Financial Statement Analysis", "id" : "ITEM-1", "issued" : { "date-parts" : [ [ "1996" ] ] }, "page" : "13-24", "title" : "Capital Expenditures: Value-relevance and fourth-quarter effects", "type" : "article-journal" }, "uris" : [ "http://www.mendeley.com/documents/?uuid=41165a56-17be-4e11-bc35-396fa6b1ae7a" ] } ], "mendeley" : { "formattedCitation" : "Callen, Livnat, and Ryan (1996)", "plainTextFormattedCitation" : "Callen, Livnat, and Ryan (1996)", "previouslyFormattedCitation" : "Callen, Livnat, and Ryan (1996)"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Callen, Livnat, and Ryan (1996)</w:t>
      </w:r>
      <w:r w:rsidRPr="00970C35">
        <w:rPr>
          <w:rFonts w:ascii="Times New Roman" w:hAnsi="Times New Roman" w:cs="Times New Roman"/>
        </w:rPr>
        <w:fldChar w:fldCharType="end"/>
      </w:r>
      <w:r w:rsidRPr="00970C35">
        <w:rPr>
          <w:rFonts w:ascii="Times New Roman" w:hAnsi="Times New Roman" w:cs="Times New Roman"/>
        </w:rPr>
        <w:t xml:space="preserve">, and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"author" : [ { "dropping-particle" : "", "family" : "Kinney", "given" : "Michael", "non-dropping-particle" : "", "parse-names" : false, "suffix" : "" }, { "dropping-particle" : "", "family" : "Trezevant", "given" : "Robert H.", "non-dropping-particle" : "", "parse-names" : false, "suffix" : "" } ], "container-title" : "The Journal of the American Taxation Association", "id" : "ITEM-1", "issue" : "15", "issued" : { "date-parts" : [ [ "1993" ] ] }, "page" : "40-62", "title" : "Taxes and the timing of coporate capital expenditures", "type" : "article-journal" }, "uris" : [ "http://www.mendeley.com/documents/?uuid=2a3d4edd-23ed-4779-984b-d7edde24e8fe" ] } ], "mendeley" : { "formattedCitation" : "Kinney and Trezevant (1993)", "plainTextFormattedCitation" : "Kinney and Trezevant (1993)", "previouslyFormattedCitation" : "Kinney and Trezevant (1993)"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Kinney and Trezevant (1993)</w:t>
      </w:r>
      <w:r w:rsidRPr="00970C35">
        <w:rPr>
          <w:rFonts w:ascii="Times New Roman" w:hAnsi="Times New Roman" w:cs="Times New Roman"/>
        </w:rPr>
        <w:fldChar w:fldCharType="end"/>
      </w:r>
      <w:r w:rsidRPr="00970C35">
        <w:rPr>
          <w:rFonts w:ascii="Times New Roman" w:hAnsi="Times New Roman" w:cs="Times New Roman"/>
        </w:rPr>
        <w:t xml:space="preserve"> show that firms in the U</w:t>
      </w:r>
      <w:r w:rsidR="00115919" w:rsidRPr="00970C35">
        <w:rPr>
          <w:rFonts w:ascii="Times New Roman" w:hAnsi="Times New Roman" w:cs="Times New Roman"/>
        </w:rPr>
        <w:t>.</w:t>
      </w:r>
      <w:r w:rsidRPr="00970C35">
        <w:rPr>
          <w:rFonts w:ascii="Times New Roman" w:hAnsi="Times New Roman" w:cs="Times New Roman"/>
        </w:rPr>
        <w:t>S</w:t>
      </w:r>
      <w:r w:rsidR="00115919" w:rsidRPr="00970C35">
        <w:rPr>
          <w:rFonts w:ascii="Times New Roman" w:hAnsi="Times New Roman" w:cs="Times New Roman"/>
        </w:rPr>
        <w:t>.</w:t>
      </w:r>
      <w:r w:rsidRPr="00970C35">
        <w:rPr>
          <w:rFonts w:ascii="Times New Roman" w:hAnsi="Times New Roman" w:cs="Times New Roman"/>
        </w:rPr>
        <w:t xml:space="preserve"> market tend to make fixed investments more aggressively in the fourth fiscal quarter than in the other three. In particular,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"10.1016/S0929-1199(01)00033-5", "ISBN" : "0929-1199", "ISSN" : "09291199", "abstract" : "Using the quarterly Compustat files, we present empirical findings that business capital investment is significantly higher in the fourth quarter than in other quarters. Even after controlling for business capital investment determinants, we find that the fourth quarter capital investment is significantly larger but less sensitive to investment opportunities than other quarters' capital investment. This phenomenon is more evident for firms with larger cash holdings than for firms with smaller cash holdings, for larger firms than for smaller firms, and for diversified firms than for stand-alone firms. Our findings suggest a high level of agency costs in corporate investment decisions. ?? 2002 Elsevier Science B.V. All rights reserved.", "author" : [ { "dropping-particle" : "", "family" : "Shin", "given" : "Hyun-Han", "non-dropping-particle" : "", "parse-names" : false, "suffix" : "" }, { "dropping-particle" : "", "family" : "Kim", "given" : "Yong H.", "non-dropping-particle" : "", "parse-names" : false, "suffix" : "" } ], "container-title" : "Journal of Corporate Finance", "id" : "ITEM-1", "issued" : { "date-parts" : [ [ "2002" ] ] }, "page" : "139-158", "title" : "Agency costs and efficiency of business capital investment: Evidence from quarterly capital expenditures", "type" : "article-journal", "volume" : "8" }, "uris" : [ "http://www.mendeley.com/documents/?uuid=1ecc75bf-057a-4382-be94-515f54fd7cd6" ] } ], "mendeley" : { "formattedCitation" : "Shin and Kim (2002)", "plainTextFormattedCitation" : "Shin and Kim (2002)", "previouslyFormattedCitation" : "Shin and Kim (2002)"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Shin and Kim (2002)</w:t>
      </w:r>
      <w:r w:rsidRPr="00970C35">
        <w:rPr>
          <w:rFonts w:ascii="Times New Roman" w:hAnsi="Times New Roman" w:cs="Times New Roman"/>
        </w:rPr>
        <w:fldChar w:fldCharType="end"/>
      </w:r>
      <w:r w:rsidRPr="00970C35">
        <w:rPr>
          <w:rFonts w:ascii="Times New Roman" w:hAnsi="Times New Roman" w:cs="Times New Roman"/>
        </w:rPr>
        <w:t xml:space="preserve"> find that this fourth fiscal quarter over-investment (hereafter “fourth quarter effect”) is due to the “use it or lose it” budget rule, combined with conflicts of interest and information asymmetry between headquarters and divisions. They argue that divisional managers have incentives to increase</w:t>
      </w:r>
      <w:r w:rsidR="00115919" w:rsidRPr="00970C35">
        <w:rPr>
          <w:rFonts w:ascii="Times New Roman" w:hAnsi="Times New Roman" w:cs="Times New Roman"/>
        </w:rPr>
        <w:t>,</w:t>
      </w:r>
      <w:r w:rsidRPr="00970C35">
        <w:rPr>
          <w:rFonts w:ascii="Times New Roman" w:hAnsi="Times New Roman" w:cs="Times New Roman"/>
        </w:rPr>
        <w:t xml:space="preserve"> or at least maintain current budget allocation</w:t>
      </w:r>
      <w:r w:rsidR="00115919" w:rsidRPr="00970C35">
        <w:rPr>
          <w:rFonts w:ascii="Times New Roman" w:hAnsi="Times New Roman" w:cs="Times New Roman"/>
        </w:rPr>
        <w:t>s</w:t>
      </w:r>
      <w:r w:rsidRPr="00970C35">
        <w:rPr>
          <w:rFonts w:ascii="Times New Roman" w:hAnsi="Times New Roman" w:cs="Times New Roman"/>
        </w:rPr>
        <w:t xml:space="preserve"> for the following fiscal year, and therefore tend to use up their remaining budget by the fiscal year-end even if they do not have good investment opportunities. </w:t>
      </w:r>
    </w:p>
    <w:p w:rsidR="00491524" w:rsidRPr="00970C35" w:rsidRDefault="00C56961" w:rsidP="00C56961">
      <w:pPr>
        <w:spacing w:after="0" w:line="480" w:lineRule="auto"/>
        <w:ind w:firstLine="288"/>
        <w:jc w:val="both"/>
        <w:rPr>
          <w:rFonts w:ascii="Times New Roman" w:hAnsi="Times New Roman" w:cs="Times New Roman"/>
        </w:rPr>
      </w:pPr>
      <w:r w:rsidRPr="00970C35">
        <w:rPr>
          <w:rFonts w:ascii="Times New Roman" w:hAnsi="Times New Roman" w:cs="Times New Roman"/>
        </w:rPr>
        <w:t>We investigate this “fourth quarter effect” in corporate investment</w:t>
      </w:r>
      <w:r w:rsidR="00115919" w:rsidRPr="00970C35">
        <w:rPr>
          <w:rFonts w:ascii="Times New Roman" w:hAnsi="Times New Roman" w:cs="Times New Roman"/>
        </w:rPr>
        <w:t>,</w:t>
      </w:r>
      <w:r w:rsidRPr="00970C35">
        <w:rPr>
          <w:rFonts w:ascii="Times New Roman" w:hAnsi="Times New Roman" w:cs="Times New Roman"/>
        </w:rPr>
        <w:t xml:space="preserve"> and attempt to address two questions. First, we examine whether the “fourth quarter effect” is present in other countries. A positive answer to this question would alleviate the concern that this effect documented in the U</w:t>
      </w:r>
      <w:r w:rsidR="00115919" w:rsidRPr="00970C35">
        <w:rPr>
          <w:rFonts w:ascii="Times New Roman" w:hAnsi="Times New Roman" w:cs="Times New Roman"/>
        </w:rPr>
        <w:t>.</w:t>
      </w:r>
      <w:r w:rsidRPr="00970C35">
        <w:rPr>
          <w:rFonts w:ascii="Times New Roman" w:hAnsi="Times New Roman" w:cs="Times New Roman"/>
        </w:rPr>
        <w:t>S</w:t>
      </w:r>
      <w:r w:rsidR="00115919" w:rsidRPr="00970C35">
        <w:rPr>
          <w:rFonts w:ascii="Times New Roman" w:hAnsi="Times New Roman" w:cs="Times New Roman"/>
        </w:rPr>
        <w:t>.</w:t>
      </w:r>
      <w:r w:rsidRPr="00970C35">
        <w:rPr>
          <w:rFonts w:ascii="Times New Roman" w:hAnsi="Times New Roman" w:cs="Times New Roman"/>
        </w:rPr>
        <w:t xml:space="preserve"> is just a coincidence. Second, and more importantly, unlike earlier papers that concentrate only on the conflicts of interest between the headquarters and divisional managers, we examine the external agency conflicts and characteristics of business environment</w:t>
      </w:r>
      <w:r w:rsidR="00115919" w:rsidRPr="00970C35">
        <w:rPr>
          <w:rFonts w:ascii="Times New Roman" w:hAnsi="Times New Roman" w:cs="Times New Roman"/>
        </w:rPr>
        <w:t>s</w:t>
      </w:r>
      <w:r w:rsidRPr="00970C35">
        <w:rPr>
          <w:rFonts w:ascii="Times New Roman" w:hAnsi="Times New Roman" w:cs="Times New Roman"/>
        </w:rPr>
        <w:t xml:space="preserve">. Our study is motivated by the two-tiered agency model on internal capital market </w:t>
      </w:r>
      <w:r w:rsidRPr="00970C35">
        <w:rPr>
          <w:rFonts w:ascii="Times New Roman" w:hAnsi="Times New Roman" w:cs="Times New Roman"/>
        </w:rPr>
        <w:lastRenderedPageBreak/>
        <w:t xml:space="preserve">by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"10.1111/0022-1082.00299", "ISBN" : "1540-6261", "ISSN" : "0022-1082", "abstract" : "We develop a two-tiered agency model that shows how rent-seeking behavior on the part of division managers can subvert the workings of an internal capital market. By rent-seeking, division managers can raise their bargaining power and extract greater overall compensation from the CEO. And because the CEO is herself an agent of outside investors, this extra compensation may take the form not of cash wages, but rather of preferential capital budgeting allocations. One interesting feature of our model is that it implies a kind of \"socialism\" in internal capital allocation, whereby weaker divisions get subsidized by stronger ones.", "author" : [ { "dropping-particle" : "", "family" : "Scharfstein", "given" : "David S", "non-dropping-particle" : "", "parse-names" : false, "suffix" : "" }, { "dropping-particle" : "", "family" : "Stein", "given" : "Jeremy C", "non-dropping-particle" : "", "parse-names" : false, "suffix" : "" } ], "container-title" : "The Journal of Finance", "id" : "ITEM-1", "issue" : "6", "issued" : { "date-parts" : [ [ "2000" ] ] }, "page" : "2537-2564", "title" : "The Dark Side of Internal Capital Markets: Divisional Rent-Seeking and Inefficient Investment", "type" : "article-journal", "volume" : "55" }, "uris" : [ "http://www.mendeley.com/documents/?uuid=f836333e-3896-47a2-8d42-fc2613b777fa" ] } ], "mendeley" : { "formattedCitation" : "Scharfstein and Stein (2000)", "plainTextFormattedCitation" : "Scharfstein and Stein (2000)", "previouslyFormattedCitation" : "Scharfstein and Stein (2000)"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Scharfstein and Stein (2000)</w:t>
      </w:r>
      <w:r w:rsidRPr="00970C35">
        <w:rPr>
          <w:rFonts w:ascii="Times New Roman" w:hAnsi="Times New Roman" w:cs="Times New Roman"/>
        </w:rPr>
        <w:fldChar w:fldCharType="end"/>
      </w:r>
      <w:r w:rsidRPr="00970C35">
        <w:rPr>
          <w:rFonts w:ascii="Times New Roman" w:hAnsi="Times New Roman" w:cs="Times New Roman"/>
        </w:rPr>
        <w:t>. In their internal capital allocation model, the firm has the headquarters, a high-productivity division, and a low-productivity division. There are two layers of agency conflicts: the inner-layer between headquarters and divisional managers</w:t>
      </w:r>
      <w:r w:rsidR="00115919" w:rsidRPr="00970C35">
        <w:rPr>
          <w:rFonts w:ascii="Times New Roman" w:hAnsi="Times New Roman" w:cs="Times New Roman"/>
        </w:rPr>
        <w:t>,</w:t>
      </w:r>
      <w:r w:rsidRPr="00970C35">
        <w:rPr>
          <w:rFonts w:ascii="Times New Roman" w:hAnsi="Times New Roman" w:cs="Times New Roman"/>
        </w:rPr>
        <w:t xml:space="preserve"> and the outer-layer between CEO (headquarters) and outside investors. The model shows that if there are only conflicts of interest between headquarters and divisional managers, the headquarters would compensate low-productivity divisional managers with extra salary but not excessive capital allocation. However, they argue that the presence of agency conflicts between the CEO and outside investors can lead to </w:t>
      </w:r>
      <w:r w:rsidR="00115919" w:rsidRPr="00970C35">
        <w:rPr>
          <w:rFonts w:ascii="Times New Roman" w:hAnsi="Times New Roman" w:cs="Times New Roman"/>
        </w:rPr>
        <w:t xml:space="preserve">a </w:t>
      </w:r>
      <w:r w:rsidRPr="00970C35">
        <w:rPr>
          <w:rFonts w:ascii="Times New Roman" w:hAnsi="Times New Roman" w:cs="Times New Roman"/>
        </w:rPr>
        <w:t xml:space="preserve">distortion in capital allocation since it is now in the CEO’s (but not the firm’s) best interest to compensate divisional </w:t>
      </w:r>
      <w:r w:rsidR="00E57761" w:rsidRPr="00970C35">
        <w:rPr>
          <w:rFonts w:ascii="Times New Roman" w:hAnsi="Times New Roman" w:cs="Times New Roman"/>
        </w:rPr>
        <w:t>managers</w:t>
      </w:r>
      <w:r w:rsidRPr="00970C35">
        <w:rPr>
          <w:rFonts w:ascii="Times New Roman" w:hAnsi="Times New Roman" w:cs="Times New Roman"/>
        </w:rPr>
        <w:t xml:space="preserve"> with excessive capital allocation rather than extra salary. Therefore, they conclude that “socialism” in internal capital </w:t>
      </w:r>
      <w:r w:rsidR="000C13D1" w:rsidRPr="00970C35">
        <w:rPr>
          <w:rFonts w:ascii="Times New Roman" w:hAnsi="Times New Roman" w:cs="Times New Roman"/>
        </w:rPr>
        <w:t>allocation</w:t>
      </w:r>
      <w:r w:rsidRPr="00970C35">
        <w:rPr>
          <w:rFonts w:ascii="Times New Roman" w:hAnsi="Times New Roman" w:cs="Times New Roman"/>
        </w:rPr>
        <w:t xml:space="preserve"> is more acute when top management has weak incentives to maximize value. More recently, </w:t>
      </w:r>
      <w:r w:rsidR="00491524"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"10.1093/rfs/hhp071", "ISBN" : "08939454", "ISSN" : "08939454", "abstract" : "This article documents differences between the Q-sensitivity of investment of stand-alone firms and unrelated segments of conglomerate firms. Unrelated segments exhibit lower Q-sensitivity of investment than stand-alone firms. This fact is driven by unrelated seg- ments of conglomerate firms that tend to invest less than stand-alone firms in high-Q industries. This finding is robust to matching on industry, year, size, age, and profitabil- ity. The differences are more pronounced in conglomerates in which top management has small ownership stakes, suggesting that agency problems explain the investment behavior of conglomerates.", "author" : [ { "dropping-particle" : "", "family" : "Ozbas", "given" : "Oguzhan", "non-dropping-particle" : "", "parse-names" : false, "suffix" : "" }, { "dropping-particle" : "", "family" : "Scharfstein", "given" : "David S.", "non-dropping-particle" : "", "parse-names" : false, "suffix" : "" } ], "container-title" : "Review of Financial Studies", "id" : "ITEM-1", "issued" : { "date-parts" : [ [ "2010" ] ] }, "page" : "581-599", "title" : "Evidence on the dark side of internal capital markets", "type" : "article-journal", "volume" : "23" }, "uris" : [ "http://www.mendeley.com/documents/?uuid=7c83ae2c-ce0a-4a24-ba08-422936eee216" ] } ], "mendeley" : { "formattedCitation" : "Ozbas and Scharfstein (2010)", "manualFormatting" : "Ozbas and Scharfstein (2010)", "plainTextFormattedCitation" : "Ozbas and Scharfstein (2010)", "previouslyFormattedCitation" : "Ozbas and Scharfstein (2010)" }, "properties" : { "noteIndex" : 0 }, "schema" : "https://github.com/citation-style-language/schema/raw/master/csl-citation.json" }</w:instrText>
      </w:r>
      <w:r w:rsidR="00491524" w:rsidRPr="00970C35">
        <w:rPr>
          <w:rFonts w:ascii="Times New Roman" w:hAnsi="Times New Roman" w:cs="Times New Roman"/>
        </w:rPr>
        <w:fldChar w:fldCharType="separate"/>
      </w:r>
      <w:r w:rsidR="005E2C6C" w:rsidRPr="00970C35">
        <w:rPr>
          <w:rFonts w:ascii="Times New Roman" w:hAnsi="Times New Roman" w:cs="Times New Roman"/>
          <w:noProof/>
        </w:rPr>
        <w:t xml:space="preserve">Ozbas and Scharfstein </w:t>
      </w:r>
      <w:r w:rsidR="001D0229" w:rsidRPr="00970C35">
        <w:rPr>
          <w:rFonts w:ascii="Times New Roman" w:hAnsi="Times New Roman" w:cs="Times New Roman"/>
          <w:noProof/>
        </w:rPr>
        <w:t>(</w:t>
      </w:r>
      <w:r w:rsidR="005E2C6C" w:rsidRPr="00970C35">
        <w:rPr>
          <w:rFonts w:ascii="Times New Roman" w:hAnsi="Times New Roman" w:cs="Times New Roman"/>
          <w:noProof/>
        </w:rPr>
        <w:t>2010)</w:t>
      </w:r>
      <w:r w:rsidR="00491524" w:rsidRPr="00970C35">
        <w:rPr>
          <w:rFonts w:ascii="Times New Roman" w:hAnsi="Times New Roman" w:cs="Times New Roman"/>
        </w:rPr>
        <w:fldChar w:fldCharType="end"/>
      </w:r>
      <w:r w:rsidR="00491524" w:rsidRPr="00970C35">
        <w:rPr>
          <w:rFonts w:ascii="Times New Roman" w:hAnsi="Times New Roman" w:cs="Times New Roman"/>
        </w:rPr>
        <w:t xml:space="preserve"> and</w:t>
      </w:r>
      <w:r w:rsidR="008E40E0" w:rsidRPr="00970C35">
        <w:rPr>
          <w:rFonts w:ascii="Times New Roman" w:hAnsi="Times New Roman" w:cs="Times New Roman"/>
        </w:rPr>
        <w:t xml:space="preserve"> </w:t>
      </w:r>
      <w:r w:rsidR="008E40E0"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"10.1016/j.jfineco.2014.10.011", "ISBN" : "0304-405X", "ISSN" : "0304405X", "abstract" : "We use a unique data set that contains information on more than 1,000 Chief Executive Officers (CEOs) and Chief Financial Officers (CFOs) around the world to investigate the degree to which executives delegate financial decisions and the circumstances that drive variation in delegation. Delegation does not appear to be monolithic; instead, our results show that it varies across corporate policies and also varies with the personal characteristics of the CEO. We find that CEOs delegate financial decisions for which they need the most input, when they are overloaded, and when they are distracted by recent acquisitions. CEOs delegate less when they are knowledgeable (long-tenured or with a finance background). Capital is allocated based on \"gut feel\" and the personal reputation of the manager running a given division. Finally, corporate politics and corporate socialism affect capital allocation in European and Asian firms.", "author" : [ { "dropping-particle" : "", "family" : "Graham", "given" : "John R.", "non-dropping-particle" : "", "parse-names" : false, "suffix" : "" }, { "dropping-particle" : "", "family" : "Harvey", "given" : "Campbell R.", "non-dropping-particle" : "", "parse-names" : false, "suffix" : "" }, { "dropping-particle" : "", "family" : "Puri", "given" : "Manju", "non-dropping-particle" : "", "parse-names" : false, "suffix" : "" } ], "container-title" : "Journal of Financial Economics", "id" : "ITEM-1", "issue" : "3", "issued" : { "date-parts" : [ [ "2015" ] ] }, "page" : "449-470", "publisher" : "Elsevier", "title" : "Capital allocation and delegation of decision-making authority within firms", "type" : "article-journal", "volume" : "115" }, "uris" : [ "http://www.mendeley.com/documents/?uuid=44a23cc6-895c-4883-a6ed-a1a8a867a33d" ] } ], "mendeley" : { "formattedCitation" : "Graham, Harvey, and Puri (2015)", "plainTextFormattedCitation" : "Graham, Harvey, and Puri (2015)", "previouslyFormattedCitation" : "Graham, Harvey, and Puri (2015)" }, "properties" : { "noteIndex" : 0 }, "schema" : "https://github.com/citation-style-language/schema/raw/master/csl-citation.json" }</w:instrText>
      </w:r>
      <w:r w:rsidR="008E40E0" w:rsidRPr="00970C35">
        <w:rPr>
          <w:rFonts w:ascii="Times New Roman" w:hAnsi="Times New Roman" w:cs="Times New Roman"/>
        </w:rPr>
        <w:fldChar w:fldCharType="separate"/>
      </w:r>
      <w:r w:rsidR="00C462AD" w:rsidRPr="00970C35">
        <w:rPr>
          <w:rFonts w:ascii="Times New Roman" w:hAnsi="Times New Roman" w:cs="Times New Roman"/>
          <w:noProof/>
        </w:rPr>
        <w:t>Graham, Harvey, and Puri (2015)</w:t>
      </w:r>
      <w:r w:rsidR="008E40E0" w:rsidRPr="00970C35">
        <w:rPr>
          <w:rFonts w:ascii="Times New Roman" w:hAnsi="Times New Roman" w:cs="Times New Roman"/>
        </w:rPr>
        <w:fldChar w:fldCharType="end"/>
      </w:r>
      <w:r w:rsidR="00491524" w:rsidRPr="00970C35">
        <w:rPr>
          <w:rFonts w:ascii="Times New Roman" w:hAnsi="Times New Roman" w:cs="Times New Roman"/>
        </w:rPr>
        <w:t>, among others,</w:t>
      </w:r>
      <w:r w:rsidRPr="00970C35">
        <w:rPr>
          <w:rFonts w:ascii="Times New Roman" w:hAnsi="Times New Roman" w:cs="Times New Roman"/>
        </w:rPr>
        <w:t xml:space="preserve"> show </w:t>
      </w:r>
      <w:r w:rsidR="00491524" w:rsidRPr="00970C35">
        <w:rPr>
          <w:rFonts w:ascii="Times New Roman" w:hAnsi="Times New Roman" w:cs="Times New Roman"/>
        </w:rPr>
        <w:t xml:space="preserve">empirical </w:t>
      </w:r>
      <w:r w:rsidRPr="00970C35">
        <w:rPr>
          <w:rFonts w:ascii="Times New Roman" w:hAnsi="Times New Roman" w:cs="Times New Roman"/>
        </w:rPr>
        <w:t xml:space="preserve">evidence consistent with the predictions </w:t>
      </w:r>
      <w:r w:rsidR="00115919" w:rsidRPr="00970C35">
        <w:rPr>
          <w:rFonts w:ascii="Times New Roman" w:hAnsi="Times New Roman" w:cs="Times New Roman"/>
        </w:rPr>
        <w:t>by</w:t>
      </w:r>
      <w:r w:rsidRPr="00970C35">
        <w:rPr>
          <w:rFonts w:ascii="Times New Roman" w:hAnsi="Times New Roman" w:cs="Times New Roman"/>
        </w:rPr>
        <w:t xml:space="preserve">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"10.1111/0022-1082.00299", "ISBN" : "1540-6261", "ISSN" : "0022-1082", "abstract" : "We develop a two-tiered agency model that shows how rent-seeking behavior on the part of division managers can subvert the workings of an internal capital market. By rent-seeking, division managers can raise their bargaining power and extract greater overall compensation from the CEO. And because the CEO is herself an agent of outside investors, this extra compensation may take the form not of cash wages, but rather of preferential capital budgeting allocations. One interesting feature of our model is that it implies a kind of \"socialism\" in internal capital allocation, whereby weaker divisions get subsidized by stronger ones.", "author" : [ { "dropping-particle" : "", "family" : "Scharfstein", "given" : "David S", "non-dropping-particle" : "", "parse-names" : false, "suffix" : "" }, { "dropping-particle" : "", "family" : "Stein", "given" : "Jeremy C", "non-dropping-particle" : "", "parse-names" : false, "suffix" : "" } ], "container-title" : "The Journal of Finance", "id" : "ITEM-1", "issue" : "6", "issued" : { "date-parts" : [ [ "2000" ] ] }, "page" : "2537-2564", "title" : "The Dark Side of Internal Capital Markets: Divisional Rent-Seeking and Inefficient Investment", "type" : "article-journal", "volume" : "55" }, "uris" : [ "http://www.mendeley.com/documents/?uuid=f836333e-3896-47a2-8d42-fc2613b777fa" ] } ], "mendeley" : { "formattedCitation" : "Scharfstein and Stein (2000)", "manualFormatting" : "Scharfstein and Stein (2000)", "plainTextFormattedCitation" : "Scharfstein and Stein (2000)", "previouslyFormattedCitation" : "Scharfstein and Stein (2000)" }, "properties" : { "noteIndex" : 0 }, "schema" : "https://github.com/citation-style-language/schema/raw/master/csl-citation.json" }</w:instrText>
      </w:r>
      <w:r w:rsidRPr="00970C35">
        <w:rPr>
          <w:rFonts w:ascii="Times New Roman" w:hAnsi="Times New Roman" w:cs="Times New Roman"/>
        </w:rPr>
        <w:fldChar w:fldCharType="separate"/>
      </w:r>
      <w:r w:rsidR="005E2C6C" w:rsidRPr="00970C35">
        <w:rPr>
          <w:rFonts w:ascii="Times New Roman" w:hAnsi="Times New Roman" w:cs="Times New Roman"/>
          <w:noProof/>
        </w:rPr>
        <w:t xml:space="preserve">Scharfstein and Stein </w:t>
      </w:r>
      <w:r w:rsidR="001D0229" w:rsidRPr="00970C35">
        <w:rPr>
          <w:rFonts w:ascii="Times New Roman" w:hAnsi="Times New Roman" w:cs="Times New Roman"/>
          <w:noProof/>
        </w:rPr>
        <w:t>(</w:t>
      </w:r>
      <w:r w:rsidR="005E2C6C" w:rsidRPr="00970C35">
        <w:rPr>
          <w:rFonts w:ascii="Times New Roman" w:hAnsi="Times New Roman" w:cs="Times New Roman"/>
          <w:noProof/>
        </w:rPr>
        <w:t>2000)</w:t>
      </w:r>
      <w:r w:rsidRPr="00970C35">
        <w:rPr>
          <w:rFonts w:ascii="Times New Roman" w:hAnsi="Times New Roman" w:cs="Times New Roman"/>
        </w:rPr>
        <w:fldChar w:fldCharType="end"/>
      </w:r>
      <w:r w:rsidRPr="00970C35">
        <w:rPr>
          <w:rFonts w:ascii="Times New Roman" w:hAnsi="Times New Roman" w:cs="Times New Roman"/>
        </w:rPr>
        <w:t xml:space="preserve">. </w:t>
      </w:r>
    </w:p>
    <w:p w:rsidR="00C56961" w:rsidRPr="00970C35" w:rsidRDefault="00C56961" w:rsidP="00C56961">
      <w:pPr>
        <w:spacing w:after="0" w:line="480" w:lineRule="auto"/>
        <w:ind w:firstLine="288"/>
        <w:jc w:val="both"/>
        <w:rPr>
          <w:rFonts w:ascii="Times New Roman" w:hAnsi="Times New Roman" w:cs="Times New Roman"/>
        </w:rPr>
      </w:pPr>
      <w:r w:rsidRPr="00970C35">
        <w:rPr>
          <w:rFonts w:ascii="Times New Roman" w:hAnsi="Times New Roman" w:cs="Times New Roman"/>
        </w:rPr>
        <w:t xml:space="preserve">In this paper, we argue that agency conflicts between CEO and outside investors </w:t>
      </w:r>
      <w:r w:rsidR="00491524" w:rsidRPr="00970C35">
        <w:rPr>
          <w:rFonts w:ascii="Times New Roman" w:hAnsi="Times New Roman" w:cs="Times New Roman"/>
        </w:rPr>
        <w:t>are</w:t>
      </w:r>
      <w:r w:rsidRPr="00970C35">
        <w:rPr>
          <w:rFonts w:ascii="Times New Roman" w:hAnsi="Times New Roman" w:cs="Times New Roman"/>
        </w:rPr>
        <w:t xml:space="preserve"> likely to lead to </w:t>
      </w:r>
      <w:r w:rsidR="00115919" w:rsidRPr="00970C35">
        <w:rPr>
          <w:rFonts w:ascii="Times New Roman" w:hAnsi="Times New Roman" w:cs="Times New Roman"/>
        </w:rPr>
        <w:t xml:space="preserve">a </w:t>
      </w:r>
      <w:r w:rsidRPr="00970C35">
        <w:rPr>
          <w:rFonts w:ascii="Times New Roman" w:hAnsi="Times New Roman" w:cs="Times New Roman"/>
        </w:rPr>
        <w:t>more significant “fourth quarter effect”. We proxy the “external layer” agency conflicts with country characteristics</w:t>
      </w:r>
      <w:r w:rsidR="00115919" w:rsidRPr="00970C35">
        <w:rPr>
          <w:rFonts w:ascii="Times New Roman" w:hAnsi="Times New Roman" w:cs="Times New Roman"/>
        </w:rPr>
        <w:t>,</w:t>
      </w:r>
      <w:r w:rsidRPr="00970C35">
        <w:rPr>
          <w:rFonts w:ascii="Times New Roman" w:hAnsi="Times New Roman" w:cs="Times New Roman"/>
        </w:rPr>
        <w:t xml:space="preserve"> and </w:t>
      </w:r>
      <w:r w:rsidR="00145E63">
        <w:rPr>
          <w:rFonts w:ascii="Times New Roman" w:hAnsi="Times New Roman" w:cs="Times New Roman"/>
        </w:rPr>
        <w:t xml:space="preserve">seek to </w:t>
      </w:r>
      <w:r w:rsidRPr="00970C35">
        <w:rPr>
          <w:rFonts w:ascii="Times New Roman" w:hAnsi="Times New Roman" w:cs="Times New Roman"/>
        </w:rPr>
        <w:t xml:space="preserve">examine whether and how the differences in our country characteristics have impact on the variation in firms’ “fourth quarter effect.” </w:t>
      </w:r>
      <w:r w:rsidR="00145E63" w:rsidRPr="00F66B3C">
        <w:rPr>
          <w:rFonts w:ascii="Times New Roman" w:hAnsi="Times New Roman" w:cs="Times New Roman"/>
          <w:color w:val="000000" w:themeColor="text1"/>
        </w:rPr>
        <w:t xml:space="preserve">Cumming et al. (2017) argue that “given the predominant focus in extant literature on internal, organizational aspects of corporate governance, there is limited prior work on potential roles of the firm’s institutional environments in terms of their impact on the link between governance factors, international business strategy and ultimately performance.” </w:t>
      </w:r>
      <w:r w:rsidR="00E80581" w:rsidRPr="00F66B3C">
        <w:rPr>
          <w:rFonts w:ascii="Times New Roman" w:hAnsi="Times New Roman" w:cs="Times New Roman"/>
          <w:color w:val="000000" w:themeColor="text1"/>
        </w:rPr>
        <w:t>To our knowledge, there is no prior work in the literature on the effect of firm’s institutional environment on its investment seasonality.</w:t>
      </w:r>
      <w:r w:rsidR="00E80581" w:rsidRPr="00A63B2D">
        <w:rPr>
          <w:rFonts w:ascii="Times New Roman" w:hAnsi="Times New Roman" w:cs="Times New Roman"/>
          <w:color w:val="FF0000"/>
        </w:rPr>
        <w:t xml:space="preserve"> </w:t>
      </w:r>
      <w:r w:rsidRPr="00970C35">
        <w:rPr>
          <w:rFonts w:ascii="Times New Roman" w:hAnsi="Times New Roman" w:cs="Times New Roman"/>
        </w:rPr>
        <w:t>There are two advantages of studying this in the international setting. First, country characteristics can be used as more explicit proxies for external agency conflicts compared with firm-level variables, and the cross-country divergence offers a rich ground for this test. Second, compared to firm-level variables, country characteristics are less endogenous to firm’s decisions.</w:t>
      </w:r>
    </w:p>
    <w:p w:rsidR="00491524" w:rsidRPr="00970C35" w:rsidRDefault="00C56961" w:rsidP="00C56961">
      <w:pPr>
        <w:spacing w:after="0" w:line="480" w:lineRule="auto"/>
        <w:ind w:firstLine="288"/>
        <w:jc w:val="both"/>
        <w:rPr>
          <w:rFonts w:ascii="Times New Roman" w:hAnsi="Times New Roman" w:cs="Times New Roman"/>
        </w:rPr>
      </w:pPr>
      <w:r w:rsidRPr="00970C35">
        <w:rPr>
          <w:rFonts w:ascii="Times New Roman" w:hAnsi="Times New Roman" w:cs="Times New Roman"/>
        </w:rPr>
        <w:t xml:space="preserve">Using firm-level data from 41 countries, we find that similar to the </w:t>
      </w:r>
      <w:r w:rsidR="00491524" w:rsidRPr="00970C35">
        <w:rPr>
          <w:rFonts w:ascii="Times New Roman" w:hAnsi="Times New Roman" w:cs="Times New Roman"/>
        </w:rPr>
        <w:t xml:space="preserve">results in </w:t>
      </w:r>
      <w:r w:rsidRPr="00970C35">
        <w:rPr>
          <w:rFonts w:ascii="Times New Roman" w:hAnsi="Times New Roman" w:cs="Times New Roman"/>
        </w:rPr>
        <w:t>earlier studies</w:t>
      </w:r>
      <w:r w:rsidR="00491524" w:rsidRPr="00970C35">
        <w:rPr>
          <w:rFonts w:ascii="Times New Roman" w:hAnsi="Times New Roman" w:cs="Times New Roman"/>
        </w:rPr>
        <w:t xml:space="preserve"> on the U</w:t>
      </w:r>
      <w:r w:rsidR="00115919" w:rsidRPr="00970C35">
        <w:rPr>
          <w:rFonts w:ascii="Times New Roman" w:hAnsi="Times New Roman" w:cs="Times New Roman"/>
        </w:rPr>
        <w:t>.</w:t>
      </w:r>
      <w:r w:rsidR="00491524" w:rsidRPr="00970C35">
        <w:rPr>
          <w:rFonts w:ascii="Times New Roman" w:hAnsi="Times New Roman" w:cs="Times New Roman"/>
        </w:rPr>
        <w:t>S</w:t>
      </w:r>
      <w:r w:rsidR="00115919" w:rsidRPr="00970C35">
        <w:rPr>
          <w:rFonts w:ascii="Times New Roman" w:hAnsi="Times New Roman" w:cs="Times New Roman"/>
        </w:rPr>
        <w:t>.</w:t>
      </w:r>
      <w:r w:rsidR="00491524" w:rsidRPr="00970C35">
        <w:rPr>
          <w:rFonts w:ascii="Times New Roman" w:hAnsi="Times New Roman" w:cs="Times New Roman"/>
        </w:rPr>
        <w:t xml:space="preserve"> market</w:t>
      </w:r>
      <w:r w:rsidRPr="00970C35">
        <w:rPr>
          <w:rFonts w:ascii="Times New Roman" w:hAnsi="Times New Roman" w:cs="Times New Roman"/>
        </w:rPr>
        <w:t xml:space="preserve">, firms in the global market increase their capital expenditure (hereafter CapEx) towards the end of </w:t>
      </w:r>
      <w:r w:rsidRPr="00970C35">
        <w:rPr>
          <w:rFonts w:ascii="Times New Roman" w:hAnsi="Times New Roman" w:cs="Times New Roman"/>
        </w:rPr>
        <w:lastRenderedPageBreak/>
        <w:t>the fiscal year as well</w:t>
      </w:r>
      <w:r w:rsidR="00115919" w:rsidRPr="00970C35">
        <w:rPr>
          <w:rFonts w:ascii="Times New Roman" w:hAnsi="Times New Roman" w:cs="Times New Roman"/>
        </w:rPr>
        <w:t>. Notably,</w:t>
      </w:r>
      <w:r w:rsidRPr="00970C35">
        <w:rPr>
          <w:rFonts w:ascii="Times New Roman" w:hAnsi="Times New Roman" w:cs="Times New Roman"/>
        </w:rPr>
        <w:t xml:space="preserve"> their CapEx in the fourth quarter is roughly 15% higher than the average of the first three quarters even though the fourth quarter investment opportunities are not higher than those in the other quarters. In answering the second question, which is our main focus, we obtain multiple country characteristics, and categorize them into two groups: investor rights and protection, and financial markets development. Our results suggest that both categories of country characteristics show significant effects on firms’ investment seasonality. Specifically, firms that operate in countries with higher investor rights and protection, and more developed financial markets tend to show less severe “fourth quarter effect.” </w:t>
      </w:r>
    </w:p>
    <w:p w:rsidR="00C56961" w:rsidRPr="00970C35" w:rsidRDefault="00C56961" w:rsidP="00C56961">
      <w:pPr>
        <w:spacing w:after="0" w:line="480" w:lineRule="auto"/>
        <w:ind w:firstLine="288"/>
        <w:jc w:val="both"/>
        <w:rPr>
          <w:rFonts w:ascii="Times New Roman" w:hAnsi="Times New Roman" w:cs="Times New Roman"/>
        </w:rPr>
      </w:pPr>
      <w:r w:rsidRPr="00970C35">
        <w:rPr>
          <w:rFonts w:ascii="Times New Roman" w:hAnsi="Times New Roman" w:cs="Times New Roman"/>
        </w:rPr>
        <w:t xml:space="preserve">To </w:t>
      </w:r>
      <w:r w:rsidR="00491524" w:rsidRPr="00970C35">
        <w:rPr>
          <w:rFonts w:ascii="Times New Roman" w:hAnsi="Times New Roman" w:cs="Times New Roman"/>
        </w:rPr>
        <w:t>alleviate the concern</w:t>
      </w:r>
      <w:r w:rsidRPr="00970C35">
        <w:rPr>
          <w:rFonts w:ascii="Times New Roman" w:hAnsi="Times New Roman" w:cs="Times New Roman"/>
        </w:rPr>
        <w:t xml:space="preserve"> that our results are </w:t>
      </w:r>
      <w:r w:rsidR="00491524" w:rsidRPr="00970C35">
        <w:rPr>
          <w:rFonts w:ascii="Times New Roman" w:hAnsi="Times New Roman" w:cs="Times New Roman"/>
        </w:rPr>
        <w:t>subject</w:t>
      </w:r>
      <w:r w:rsidRPr="00970C35">
        <w:rPr>
          <w:rFonts w:ascii="Times New Roman" w:hAnsi="Times New Roman" w:cs="Times New Roman"/>
        </w:rPr>
        <w:t xml:space="preserve"> to endogeneity issues, we use lagged variables at </w:t>
      </w:r>
      <w:r w:rsidR="00115919" w:rsidRPr="00970C35">
        <w:rPr>
          <w:rFonts w:ascii="Times New Roman" w:hAnsi="Times New Roman" w:cs="Times New Roman"/>
        </w:rPr>
        <w:t xml:space="preserve">the </w:t>
      </w:r>
      <w:r w:rsidRPr="00970C35">
        <w:rPr>
          <w:rFonts w:ascii="Times New Roman" w:hAnsi="Times New Roman" w:cs="Times New Roman"/>
        </w:rPr>
        <w:t>firm level, and include a firm fixed effect to control for time-invariant firm-level CapEx and mitigate potential omitted variables bias. We also include industry</w:t>
      </w:r>
      <w:r w:rsidRPr="00970C35">
        <w:rPr>
          <w:rFonts w:ascii="Times New Roman" w:hAnsi="Times New Roman" w:cs="Times New Roman"/>
          <w:szCs w:val="16"/>
        </w:rPr>
        <w:t xml:space="preserve">-calendar-year-quarter interaction fixed effects to control for time-varying investment opportunities. </w:t>
      </w:r>
      <w:r w:rsidRPr="00970C35">
        <w:rPr>
          <w:rFonts w:ascii="Times New Roman" w:hAnsi="Times New Roman" w:cs="Times New Roman"/>
        </w:rPr>
        <w:t xml:space="preserve">To further support our argument that </w:t>
      </w:r>
      <w:r w:rsidRPr="00970C35">
        <w:rPr>
          <w:rFonts w:ascii="Times New Roman" w:eastAsia="맑은 고딕" w:hAnsi="Times New Roman" w:cs="Times New Roman"/>
          <w:lang w:eastAsia="ko-KR"/>
        </w:rPr>
        <w:t xml:space="preserve">the </w:t>
      </w:r>
      <w:r w:rsidRPr="00970C35">
        <w:rPr>
          <w:rFonts w:ascii="Times New Roman" w:hAnsi="Times New Roman" w:cs="Times New Roman"/>
        </w:rPr>
        <w:t xml:space="preserve">“fourth quarter effect” is associated with the agency costs between firm management and outside investors, we divide our sample into two subsamples based on </w:t>
      </w:r>
      <w:r w:rsidR="00115919" w:rsidRPr="00970C35">
        <w:rPr>
          <w:rFonts w:ascii="Times New Roman" w:hAnsi="Times New Roman" w:cs="Times New Roman"/>
        </w:rPr>
        <w:t xml:space="preserve">a </w:t>
      </w:r>
      <w:r w:rsidRPr="00970C35">
        <w:rPr>
          <w:rFonts w:ascii="Times New Roman" w:hAnsi="Times New Roman" w:cs="Times New Roman"/>
        </w:rPr>
        <w:t xml:space="preserve">firm’s dependence on </w:t>
      </w:r>
      <w:r w:rsidR="00115919" w:rsidRPr="00970C35">
        <w:rPr>
          <w:rFonts w:ascii="Times New Roman" w:hAnsi="Times New Roman" w:cs="Times New Roman"/>
        </w:rPr>
        <w:t xml:space="preserve">the </w:t>
      </w:r>
      <w:r w:rsidRPr="00970C35">
        <w:rPr>
          <w:rFonts w:ascii="Times New Roman" w:hAnsi="Times New Roman" w:cs="Times New Roman"/>
        </w:rPr>
        <w:t>external financial market. We expect that effect of agency conflicts between CEO and outside investors plays a more significant role in affecting the “fourth quarter effect</w:t>
      </w:r>
      <w:r w:rsidR="00491524" w:rsidRPr="00970C35">
        <w:rPr>
          <w:rFonts w:ascii="Times New Roman" w:hAnsi="Times New Roman" w:cs="Times New Roman"/>
        </w:rPr>
        <w:t>”</w:t>
      </w:r>
      <w:r w:rsidRPr="00970C35">
        <w:rPr>
          <w:rFonts w:ascii="Times New Roman" w:hAnsi="Times New Roman" w:cs="Times New Roman"/>
        </w:rPr>
        <w:t xml:space="preserve"> among the firms from industries that are more dependent on external financial market</w:t>
      </w:r>
      <w:r w:rsidR="00491524" w:rsidRPr="00970C35">
        <w:rPr>
          <w:rFonts w:ascii="Times New Roman" w:hAnsi="Times New Roman" w:cs="Times New Roman"/>
        </w:rPr>
        <w:t xml:space="preserve"> b</w:t>
      </w:r>
      <w:r w:rsidRPr="00970C35">
        <w:rPr>
          <w:rFonts w:ascii="Times New Roman" w:hAnsi="Times New Roman" w:cs="Times New Roman"/>
        </w:rPr>
        <w:t>ecause such firms interact more closely with outside investors</w:t>
      </w:r>
      <w:r w:rsidR="00491524" w:rsidRPr="00970C35">
        <w:rPr>
          <w:rFonts w:ascii="Times New Roman" w:hAnsi="Times New Roman" w:cs="Times New Roman"/>
        </w:rPr>
        <w:t>. This is indeed what we find.</w:t>
      </w:r>
      <w:r w:rsidRPr="00970C35">
        <w:rPr>
          <w:rFonts w:ascii="Times New Roman" w:hAnsi="Times New Roman" w:cs="Times New Roman"/>
        </w:rPr>
        <w:t xml:space="preserve"> To provide additional evidence to support our finding, we test the investment-q sensitivity across our country characteristics</w:t>
      </w:r>
      <w:r w:rsidR="00115919" w:rsidRPr="00970C35">
        <w:rPr>
          <w:rFonts w:ascii="Times New Roman" w:hAnsi="Times New Roman" w:cs="Times New Roman"/>
        </w:rPr>
        <w:t>—</w:t>
      </w:r>
      <w:r w:rsidRPr="00970C35">
        <w:rPr>
          <w:rFonts w:ascii="Times New Roman" w:hAnsi="Times New Roman" w:cs="Times New Roman"/>
        </w:rPr>
        <w:t>as it measures how responsive firms’ quarterly spending</w:t>
      </w:r>
      <w:r w:rsidR="00115919" w:rsidRPr="00970C35">
        <w:rPr>
          <w:rFonts w:ascii="Times New Roman" w:hAnsi="Times New Roman" w:cs="Times New Roman"/>
        </w:rPr>
        <w:t xml:space="preserve"> is to investment opportunities—</w:t>
      </w:r>
      <w:r w:rsidRPr="00970C35">
        <w:rPr>
          <w:rFonts w:ascii="Times New Roman" w:hAnsi="Times New Roman" w:cs="Times New Roman"/>
        </w:rPr>
        <w:t xml:space="preserve">and find results consistent with our expectations. Our results hold in robustness tests where we use alternative constructions of key variables, industry-adjusted firm-level variables, and regressions at the aggregate level. We also address an alternative explanation that the “fourth quarter effect” is simply due to tax savings in section 5. </w:t>
      </w:r>
    </w:p>
    <w:p w:rsidR="00C56961" w:rsidRPr="00970C35" w:rsidRDefault="00C56961" w:rsidP="00C56961">
      <w:pPr>
        <w:spacing w:after="0" w:line="480" w:lineRule="auto"/>
        <w:ind w:firstLine="288"/>
        <w:jc w:val="both"/>
        <w:rPr>
          <w:rFonts w:ascii="Times New Roman" w:hAnsi="Times New Roman" w:cs="Times New Roman"/>
        </w:rPr>
      </w:pPr>
      <w:r w:rsidRPr="00970C35">
        <w:rPr>
          <w:rFonts w:ascii="Times New Roman" w:hAnsi="Times New Roman" w:cs="Times New Roman"/>
        </w:rPr>
        <w:t xml:space="preserve">Our work is related and contributes to two broad strands of literature. In </w:t>
      </w:r>
      <w:r w:rsidR="00115919" w:rsidRPr="00970C35">
        <w:rPr>
          <w:rFonts w:ascii="Times New Roman" w:hAnsi="Times New Roman" w:cs="Times New Roman"/>
        </w:rPr>
        <w:t>general</w:t>
      </w:r>
      <w:r w:rsidRPr="00970C35">
        <w:rPr>
          <w:rFonts w:ascii="Times New Roman" w:hAnsi="Times New Roman" w:cs="Times New Roman"/>
        </w:rPr>
        <w:t>, our study is related to the internal capital market efficiency literature. One common theme in th</w:t>
      </w:r>
      <w:r w:rsidR="00115919" w:rsidRPr="00970C35">
        <w:rPr>
          <w:rFonts w:ascii="Times New Roman" w:hAnsi="Times New Roman" w:cs="Times New Roman"/>
        </w:rPr>
        <w:t>e</w:t>
      </w:r>
      <w:r w:rsidRPr="00970C35">
        <w:rPr>
          <w:rFonts w:ascii="Times New Roman" w:hAnsi="Times New Roman" w:cs="Times New Roman"/>
        </w:rPr>
        <w:t xml:space="preserve"> literature is that conflicts of interest and information asymmetry within the firm can lead to suboptimal capital allocation and investment </w:t>
      </w:r>
      <w:r w:rsidRPr="00970C35">
        <w:rPr>
          <w:rFonts w:ascii="Times New Roman" w:hAnsi="Times New Roman" w:cs="Times New Roman"/>
        </w:rPr>
        <w:lastRenderedPageBreak/>
        <w:t>decisions</w:t>
      </w:r>
      <w:r w:rsidRPr="00970C35">
        <w:rPr>
          <w:rStyle w:val="ac"/>
          <w:rFonts w:ascii="Times New Roman" w:hAnsi="Times New Roman" w:cs="Times New Roman"/>
        </w:rPr>
        <w:footnoteReference w:id="2"/>
      </w:r>
      <w:r w:rsidRPr="00970C35">
        <w:rPr>
          <w:rFonts w:ascii="Times New Roman" w:hAnsi="Times New Roman" w:cs="Times New Roman"/>
        </w:rPr>
        <w:t xml:space="preserve">. </w:t>
      </w:r>
      <w:r w:rsidR="00682790" w:rsidRPr="00970C35">
        <w:rPr>
          <w:rFonts w:ascii="Times New Roman" w:hAnsi="Times New Roman" w:cs="Times New Roman"/>
        </w:rPr>
        <w:t xml:space="preserve">In the context of the two-tiered agency model </w:t>
      </w:r>
      <w:r w:rsidR="00115919" w:rsidRPr="00970C35">
        <w:rPr>
          <w:rFonts w:ascii="Times New Roman" w:hAnsi="Times New Roman" w:cs="Times New Roman"/>
        </w:rPr>
        <w:t>by</w:t>
      </w:r>
      <w:r w:rsidR="00682790" w:rsidRPr="00970C35">
        <w:rPr>
          <w:rFonts w:ascii="Times New Roman" w:hAnsi="Times New Roman" w:cs="Times New Roman"/>
        </w:rPr>
        <w:t xml:space="preserve"> </w:t>
      </w:r>
      <w:r w:rsidR="00682790"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"10.1111/0022-1082.00299", "ISBN" : "1540-6261", "ISSN" : "0022-1082", "abstract" : "We develop a two-tiered agency model that shows how rent-seeking behavior on the part of division managers can subvert the workings of an internal capital market. By rent-seeking, division managers can raise their bargaining power and extract greater overall compensation from the CEO. And because the CEO is herself an agent of outside investors, this extra compensation may take the form not of cash wages, but rather of preferential capital budgeting allocations. One interesting feature of our model is that it implies a kind of \"socialism\" in internal capital allocation, whereby weaker divisions get subsidized by stronger ones.", "author" : [ { "dropping-particle" : "", "family" : "Scharfstein", "given" : "David S", "non-dropping-particle" : "", "parse-names" : false, "suffix" : "" }, { "dropping-particle" : "", "family" : "Stein", "given" : "Jeremy C", "non-dropping-particle" : "", "parse-names" : false, "suffix" : "" } ], "container-title" : "The Journal of Finance", "id" : "ITEM-1", "issue" : "6", "issued" : { "date-parts" : [ [ "2000" ] ] }, "page" : "2537-2564", "title" : "The Dark Side of Internal Capital Markets: Divisional Rent-Seeking and Inefficient Investment", "type" : "article-journal", "volume" : "55" }, "uris" : [ "http://www.mendeley.com/documents/?uuid=f836333e-3896-47a2-8d42-fc2613b777fa" ] } ], "mendeley" : { "formattedCitation" : "Scharfstein and Stein (2000)", "plainTextFormattedCitation" : "Scharfstein and Stein (2000)", "previouslyFormattedCitation" : "Scharfstein and Stein (2000)" }, "properties" : { "noteIndex" : 0 }, "schema" : "https://github.com/citation-style-language/schema/raw/master/csl-citation.json" }</w:instrText>
      </w:r>
      <w:r w:rsidR="00682790" w:rsidRPr="00970C35">
        <w:rPr>
          <w:rFonts w:ascii="Times New Roman" w:hAnsi="Times New Roman" w:cs="Times New Roman"/>
        </w:rPr>
        <w:fldChar w:fldCharType="separate"/>
      </w:r>
      <w:r w:rsidR="00C462AD" w:rsidRPr="00970C35">
        <w:rPr>
          <w:rFonts w:ascii="Times New Roman" w:hAnsi="Times New Roman" w:cs="Times New Roman"/>
          <w:noProof/>
        </w:rPr>
        <w:t>Scharfstein and Stein (2000)</w:t>
      </w:r>
      <w:r w:rsidR="00682790" w:rsidRPr="00970C35">
        <w:rPr>
          <w:rFonts w:ascii="Times New Roman" w:hAnsi="Times New Roman" w:cs="Times New Roman"/>
        </w:rPr>
        <w:fldChar w:fldCharType="end"/>
      </w:r>
      <w:r w:rsidR="00682790" w:rsidRPr="00970C35">
        <w:rPr>
          <w:rFonts w:ascii="Times New Roman" w:hAnsi="Times New Roman" w:cs="Times New Roman"/>
        </w:rPr>
        <w:t xml:space="preserve">, earlier </w:t>
      </w:r>
      <w:r w:rsidR="00115919" w:rsidRPr="00970C35">
        <w:rPr>
          <w:rFonts w:ascii="Times New Roman" w:hAnsi="Times New Roman" w:cs="Times New Roman"/>
        </w:rPr>
        <w:t>studies</w:t>
      </w:r>
      <w:r w:rsidR="00682790" w:rsidRPr="00970C35">
        <w:rPr>
          <w:rFonts w:ascii="Times New Roman" w:hAnsi="Times New Roman" w:cs="Times New Roman"/>
        </w:rPr>
        <w:t xml:space="preserve"> focus on the inner-tier agency problems (headquarters vs. divisional managers) such as firm size, number of divisions, and cash holdings</w:t>
      </w:r>
      <w:r w:rsidR="00682790" w:rsidRPr="00970C35">
        <w:rPr>
          <w:rFonts w:ascii="Times New Roman" w:eastAsia="맑은 고딕" w:hAnsi="Times New Roman" w:cs="Times New Roman"/>
          <w:lang w:eastAsia="ko-KR"/>
        </w:rPr>
        <w:t>.</w:t>
      </w:r>
      <w:r w:rsidR="00682790" w:rsidRPr="00970C35">
        <w:rPr>
          <w:rFonts w:ascii="Times New Roman" w:hAnsi="Times New Roman" w:cs="Times New Roman"/>
        </w:rPr>
        <w:t xml:space="preserve"> </w:t>
      </w:r>
      <w:r w:rsidR="00682790" w:rsidRPr="00970C35">
        <w:rPr>
          <w:rFonts w:ascii="Times New Roman" w:eastAsia="맑은 고딕" w:hAnsi="Times New Roman" w:cs="Times New Roman"/>
          <w:lang w:eastAsia="ko-KR"/>
        </w:rPr>
        <w:t>However,</w:t>
      </w:r>
      <w:r w:rsidR="00682790" w:rsidRPr="00970C35">
        <w:rPr>
          <w:rFonts w:ascii="Times New Roman" w:hAnsi="Times New Roman" w:cs="Times New Roman"/>
        </w:rPr>
        <w:t xml:space="preserve"> we pay attention to the external agency conflicts and environmental characteristics at </w:t>
      </w:r>
      <w:r w:rsidR="00115919" w:rsidRPr="00970C35">
        <w:rPr>
          <w:rFonts w:ascii="Times New Roman" w:hAnsi="Times New Roman" w:cs="Times New Roman"/>
        </w:rPr>
        <w:t xml:space="preserve">the </w:t>
      </w:r>
      <w:r w:rsidR="00682790" w:rsidRPr="00970C35">
        <w:rPr>
          <w:rFonts w:ascii="Times New Roman" w:hAnsi="Times New Roman" w:cs="Times New Roman"/>
        </w:rPr>
        <w:t xml:space="preserve">country level, and how they can affect firms’ “use it or lose it” phenomenon.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"10.1093/rfs/hhp071", "ISBN" : "08939454", "ISSN" : "08939454", "abstract" : "This article documents differences between the Q-sensitivity of investment of stand-alone firms and unrelated segments of conglomerate firms. Unrelated segments exhibit lower Q-sensitivity of investment than stand-alone firms. This fact is driven by unrelated seg- ments of conglomerate firms that tend to invest less than stand-alone firms in high-Q industries. This finding is robust to matching on industry, year, size, age, and profitabil- ity. The differences are more pronounced in conglomerates in which top management has small ownership stakes, suggesting that agency problems explain the investment behavior of conglomerates.", "author" : [ { "dropping-particle" : "", "family" : "Ozbas", "given" : "Oguzhan", "non-dropping-particle" : "", "parse-names" : false, "suffix" : "" }, { "dropping-particle" : "", "family" : "Scharfstein", "given" : "David S.", "non-dropping-particle" : "", "parse-names" : false, "suffix" : "" } ], "container-title" : "Review of Financial Studies", "id" : "ITEM-1", "issued" : { "date-parts" : [ [ "2010" ] ] }, "page" : "581-599", "title" : "Evidence on the dark side of internal capital markets", "type" : "article-journal", "volume" : "23" }, "uris" : [ "http://www.mendeley.com/documents/?uuid=7c83ae2c-ce0a-4a24-ba08-422936eee216" ] } ], "mendeley" : { "formattedCitation" : "Ozbas and Scharfstein (2010)", "plainTextFormattedCitation" : "Ozbas and Scharfstein (2010)", "previouslyFormattedCitation" : "Ozbas and Scharfstein (2010)"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Ozbas and Scharfstein (2010)</w:t>
      </w:r>
      <w:r w:rsidRPr="00970C35">
        <w:rPr>
          <w:rFonts w:ascii="Times New Roman" w:hAnsi="Times New Roman" w:cs="Times New Roman"/>
        </w:rPr>
        <w:fldChar w:fldCharType="end"/>
      </w:r>
      <w:r w:rsidRPr="00970C35">
        <w:rPr>
          <w:rFonts w:ascii="Times New Roman" w:hAnsi="Times New Roman" w:cs="Times New Roman"/>
        </w:rPr>
        <w:t xml:space="preserve"> empirically test the model in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"10.1111/0022-1082.00299", "ISBN" : "1540-6261", "ISSN" : "0022-1082", "abstract" : "We develop a two-tiered agency model that shows how rent-seeking behavior on the part of division managers can subvert the workings of an internal capital market. By rent-seeking, division managers can raise their bargaining power and extract greater overall compensation from the CEO. And because the CEO is herself an agent of outside investors, this extra compensation may take the form not of cash wages, but rather of preferential capital budgeting allocations. One interesting feature of our model is that it implies a kind of \"socialism\" in internal capital allocation, whereby weaker divisions get subsidized by stronger ones.", "author" : [ { "dropping-particle" : "", "family" : "Scharfstein", "given" : "David S", "non-dropping-particle" : "", "parse-names" : false, "suffix" : "" }, { "dropping-particle" : "", "family" : "Stein", "given" : "Jeremy C", "non-dropping-particle" : "", "parse-names" : false, "suffix" : "" } ], "container-title" : "The Journal of Finance", "id" : "ITEM-1", "issue" : "6", "issued" : { "date-parts" : [ [ "2000" ] ] }, "page" : "2537-2564", "title" : "The Dark Side of Internal Capital Markets: Divisional Rent-Seeking and Inefficient Investment", "type" : "article-journal", "volume" : "55" }, "uris" : [ "http://www.mendeley.com/documents/?uuid=f836333e-3896-47a2-8d42-fc2613b777fa" ] } ], "mendeley" : { "formattedCitation" : "Scharfstein and Stein (2000)", "plainTextFormattedCitation" : "Scharfstein and Stein (2000)", "previouslyFormattedCitation" : "Scharfstein and Stein (2000)"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Scharfstein and Stein (2000)</w:t>
      </w:r>
      <w:r w:rsidRPr="00970C35">
        <w:rPr>
          <w:rFonts w:ascii="Times New Roman" w:hAnsi="Times New Roman" w:cs="Times New Roman"/>
        </w:rPr>
        <w:fldChar w:fldCharType="end"/>
      </w:r>
      <w:r w:rsidR="00115919" w:rsidRPr="00970C35">
        <w:rPr>
          <w:rFonts w:ascii="Times New Roman" w:hAnsi="Times New Roman" w:cs="Times New Roman"/>
        </w:rPr>
        <w:t>,</w:t>
      </w:r>
      <w:r w:rsidRPr="00970C35">
        <w:rPr>
          <w:rFonts w:ascii="Times New Roman" w:hAnsi="Times New Roman" w:cs="Times New Roman"/>
        </w:rPr>
        <w:t xml:space="preserve"> and find that higher external agency conflicts (measured by CEO ownership) indeed exacerbates investment inefficiency in conglomerate firms.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"10.1016/j.jfineco.2011.03.025", "ISBN" : "0304-405X", "ISSN" : "0304405X", "abstract" : "We investigate whether the diversification discount occurs partly as an artifact of poor corporate governance. In panel data models, we find that the discount narrows by 16% to 21% when we add governance variables as regression controls. We also estimate Heckman selection models that account for the endogeneity of diversification and dynamic panel generalized method of moments models that account for the endogeneity of both diversification and governance. We find that the diversification discount persists even with these controls for endogeneity. However, in selection models the discount disappears entirely when we introduce governance variables in the second stage, and in dynamic panel GMM models the discount narrows by 37% when we include governance variables. \u00a9 2011 Elsevier B.V.", "author" : [ { "dropping-particle" : "", "family" : "Hoechle", "given" : "Daniel", "non-dropping-particle" : "", "parse-names" : false, "suffix" : "" }, { "dropping-particle" : "", "family" : "Schmid", "given" : "Markus", "non-dropping-particle" : "", "parse-names" : false, "suffix" : "" }, { "dropping-particle" : "", "family" : "Walter", "given" : "Ingo", "non-dropping-particle" : "", "parse-names" : false, "suffix" : "" }, { "dropping-particle" : "", "family" : "Yermack", "given" : "David", "non-dropping-particle" : "", "parse-names" : false, "suffix" : "" } ], "container-title" : "Journal of Financial Economics", "id" : "ITEM-1", "issue" : "1", "issued" : { "date-parts" : [ [ "2012" ] ] }, "page" : "41-60", "publisher" : "Elsevier", "title" : "How much of the diversification discount can be explained by poor corporate governance?", "type" : "article-journal", "volume" : "103" }, "uris" : [ "http://www.mendeley.com/documents/?uuid=675ed8d9-1272-4078-8ad5-ffea62ccd95a" ] } ], "mendeley" : { "formattedCitation" : "Hoechle et al. (2012)", "plainTextFormattedCitation" : "Hoechle et al. (2012)", "previouslyFormattedCitation" : "Hoechle et al. (2012)"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Hoechle et al. (2012)</w:t>
      </w:r>
      <w:r w:rsidRPr="00970C35">
        <w:rPr>
          <w:rFonts w:ascii="Times New Roman" w:hAnsi="Times New Roman" w:cs="Times New Roman"/>
        </w:rPr>
        <w:fldChar w:fldCharType="end"/>
      </w:r>
      <w:r w:rsidRPr="00970C35">
        <w:rPr>
          <w:rFonts w:ascii="Times New Roman" w:hAnsi="Times New Roman" w:cs="Times New Roman"/>
        </w:rPr>
        <w:t xml:space="preserve"> and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"10.1111/jofi.12003", "ISBN" : "1540-6261", "ISSN" : "00221082", "abstract" : "Using hand\u2010collected data on divisional managers at S&amp;P 500 firms, we study their role in internal capital budgeting. Divisional managers with social connections to the CEO receive more capital. Connections to the CEO outweigh measures of managers\u2019 formal influence, such as seniority and board membership, and affect both managerial appointments and capital allocations. The effect of connections on investment efficiency depends on the tradeoff between agency and information asymmetry. Under weak governance, connections reduce investment efficiency and firm value via favoritism. Under high information asymmetry, connections increase investment efficiency and firm value via information transfer.", "author" : [ { "dropping-particle" : "", "family" : "Duchin", "given" : "Ran", "non-dropping-particle" : "", "parse-names" : false, "suffix" : "" }, { "dropping-particle" : "", "family" : "Sosyura", "given" : "Denis", "non-dropping-particle" : "", "parse-names" : false, "suffix" : "" } ], "container-title" : "Journal of Finance", "id" : "ITEM-1", "issue" : "2", "issued" : { "date-parts" : [ [ "2013" ] ] }, "page" : "387-429", "title" : "Divisional managers and internal capital markets", "type" : "article-journal", "volume" : "68" }, "uris" : [ "http://www.mendeley.com/documents/?uuid=da95ebda-ddc0-44e7-a36c-114dfddb8f18" ] } ], "mendeley" : { "formattedCitation" : "Duchin and Sosyura (2013)", "plainTextFormattedCitation" : "Duchin and Sosyura (2013)", "previouslyFormattedCitation" : "Duchin and Sosyura (2013)"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Duchin and Sosyura (2013)</w:t>
      </w:r>
      <w:r w:rsidRPr="00970C35">
        <w:rPr>
          <w:rFonts w:ascii="Times New Roman" w:hAnsi="Times New Roman" w:cs="Times New Roman"/>
        </w:rPr>
        <w:fldChar w:fldCharType="end"/>
      </w:r>
      <w:r w:rsidRPr="00970C35">
        <w:rPr>
          <w:rFonts w:ascii="Times New Roman" w:hAnsi="Times New Roman" w:cs="Times New Roman"/>
        </w:rPr>
        <w:t xml:space="preserve"> find similar results. </w:t>
      </w:r>
    </w:p>
    <w:p w:rsidR="00E57761" w:rsidRPr="00F66B3C" w:rsidRDefault="00C56961" w:rsidP="00C56961">
      <w:pPr>
        <w:spacing w:after="0" w:line="480" w:lineRule="auto"/>
        <w:ind w:firstLine="288"/>
        <w:jc w:val="both"/>
        <w:rPr>
          <w:rFonts w:ascii="Times New Roman" w:hAnsi="Times New Roman" w:cs="Times New Roman"/>
          <w:color w:val="000000" w:themeColor="text1"/>
        </w:rPr>
      </w:pPr>
      <w:r w:rsidRPr="00970C35">
        <w:rPr>
          <w:rFonts w:ascii="Times New Roman" w:hAnsi="Times New Roman" w:cs="Times New Roman"/>
        </w:rPr>
        <w:t xml:space="preserve">Unlike earlier </w:t>
      </w:r>
      <w:r w:rsidR="00115919" w:rsidRPr="00970C35">
        <w:rPr>
          <w:rFonts w:ascii="Times New Roman" w:hAnsi="Times New Roman" w:cs="Times New Roman"/>
        </w:rPr>
        <w:t>researches</w:t>
      </w:r>
      <w:r w:rsidRPr="00970C35">
        <w:rPr>
          <w:rFonts w:ascii="Times New Roman" w:hAnsi="Times New Roman" w:cs="Times New Roman"/>
        </w:rPr>
        <w:t xml:space="preserve"> that focus on firm-level characteristics, our paper studies the characteristics of countries in which firms operate.</w:t>
      </w:r>
      <w:r w:rsidR="00E57761">
        <w:rPr>
          <w:rFonts w:ascii="Times New Roman" w:hAnsi="Times New Roman" w:cs="Times New Roman"/>
        </w:rPr>
        <w:t xml:space="preserve"> </w:t>
      </w:r>
      <w:r w:rsidRPr="00970C35">
        <w:rPr>
          <w:rFonts w:ascii="Times New Roman" w:hAnsi="Times New Roman" w:cs="Times New Roman"/>
        </w:rPr>
        <w:t xml:space="preserve">An advantage of doing so is that country characteristics more explicitly capture the “outer-tier” agency problems (CEO vs. outside investors), while </w:t>
      </w:r>
      <w:r w:rsidR="00456AAF" w:rsidRPr="00970C35">
        <w:rPr>
          <w:rFonts w:ascii="Times New Roman" w:hAnsi="Times New Roman" w:cs="Times New Roman"/>
        </w:rPr>
        <w:t>many</w:t>
      </w:r>
      <w:r w:rsidRPr="00970C35">
        <w:rPr>
          <w:rFonts w:ascii="Times New Roman" w:hAnsi="Times New Roman" w:cs="Times New Roman"/>
        </w:rPr>
        <w:t xml:space="preserve"> firm-level variables </w:t>
      </w:r>
      <w:r w:rsidR="00456AAF" w:rsidRPr="00970C35">
        <w:rPr>
          <w:rFonts w:ascii="Times New Roman" w:hAnsi="Times New Roman" w:cs="Times New Roman"/>
        </w:rPr>
        <w:t xml:space="preserve">such as firm size </w:t>
      </w:r>
      <w:r w:rsidRPr="00970C35">
        <w:rPr>
          <w:rFonts w:ascii="Times New Roman" w:hAnsi="Times New Roman" w:cs="Times New Roman"/>
        </w:rPr>
        <w:t xml:space="preserve">capture agency problems at both internal and external levels. </w:t>
      </w:r>
      <w:r w:rsidR="00E57761" w:rsidRPr="00F66B3C">
        <w:rPr>
          <w:rFonts w:ascii="Times New Roman" w:hAnsi="Times New Roman" w:cs="Times New Roman"/>
          <w:color w:val="000000" w:themeColor="text1"/>
        </w:rPr>
        <w:t xml:space="preserve">Recent studies taking advantage of  cross-country variation in legal, cultural, and financial institutions include </w:t>
      </w:r>
      <w:r w:rsidR="00E57761" w:rsidRPr="00F66B3C">
        <w:rPr>
          <w:rFonts w:ascii="Times New Roman" w:hAnsi="Times New Roman" w:cs="Times New Roman"/>
          <w:color w:val="000000" w:themeColor="text1"/>
        </w:rPr>
        <w:fldChar w:fldCharType="begin" w:fldLock="1"/>
      </w:r>
      <w:r w:rsidR="00E57761" w:rsidRPr="00F66B3C">
        <w:rPr>
          <w:rFonts w:ascii="Times New Roman" w:hAnsi="Times New Roman" w:cs="Times New Roman"/>
          <w:color w:val="000000" w:themeColor="text1"/>
        </w:rPr>
        <w:instrText>ADDIN CSL_CITATION { "citationItems" : [ { "id" : "ITEM-1", "itemData" : { "DOI" : "10.1057/jibs.2009.62", "ISBN" : "0047-2506", "ISSN" : "0047-8210", "abstract" : "To obtain more funds from the institutional investors, private equity (PE) fund managers may report inflated valuations of private investee companies that are not yet sold. However, such overvaluations may result in a reputational cost when those investments are realized. Using evidence from 39 countries, we show that there are significant systematic biases in managers' reporting of fund performance. We find that these biases depend on the accounting and legal environment in a country, and on proxies for the degree of information asymmetry between institutional investors and PE fund managers.", "author" : [ { "dropping-particle" : "", "family" : "Cumming", "given" : "Douglas", "non-dropping-particle" : "", "parse-names" : false, "suffix" : "" }, { "dropping-particle" : "", "family" : "Walz", "given" : "Uwe", "non-dropping-particle" : "", "parse-names" : false, "suffix" : "" } ], "container-title" : "Journal of International Business Studies", "id" : "ITEM-1", "issue" : "4", "issued" : { "date-parts" : [ [ "2010" ] ] }, "page" : "727-754", "title" : "Private equity returns and disclosure around the world", "type" : "article-journal", "volume" : "41" }, "uris" : [ "http://www.mendeley.com/documents/?uuid=5ee7154d-9f67-4024-8921-8508ed31f9ee" ] } ], "mendeley" : { "formattedCitation" : "Cumming and Walz (2010)", "plainTextFormattedCitation" : "Cumming and Walz (2010)", "previouslyFormattedCitation" : "Cumming and Walz (2010)" }, "properties" : { "noteIndex" : 0 }, "schema" : "https://github.com/citation-style-language/schema/raw/master/csl-citation.json" }</w:instrText>
      </w:r>
      <w:r w:rsidR="00E57761" w:rsidRPr="00F66B3C">
        <w:rPr>
          <w:rFonts w:ascii="Times New Roman" w:hAnsi="Times New Roman" w:cs="Times New Roman"/>
          <w:color w:val="000000" w:themeColor="text1"/>
        </w:rPr>
        <w:fldChar w:fldCharType="separate"/>
      </w:r>
      <w:r w:rsidR="00E57761" w:rsidRPr="00F66B3C">
        <w:rPr>
          <w:rFonts w:ascii="Times New Roman" w:hAnsi="Times New Roman" w:cs="Times New Roman"/>
          <w:noProof/>
          <w:color w:val="000000" w:themeColor="text1"/>
        </w:rPr>
        <w:t>Cumming and Walz (2010)</w:t>
      </w:r>
      <w:r w:rsidR="00E57761" w:rsidRPr="00F66B3C">
        <w:rPr>
          <w:rFonts w:ascii="Times New Roman" w:hAnsi="Times New Roman" w:cs="Times New Roman"/>
          <w:color w:val="000000" w:themeColor="text1"/>
        </w:rPr>
        <w:fldChar w:fldCharType="end"/>
      </w:r>
      <w:r w:rsidR="00E57761" w:rsidRPr="00F66B3C">
        <w:rPr>
          <w:rFonts w:ascii="Times New Roman" w:hAnsi="Times New Roman" w:cs="Times New Roman"/>
          <w:color w:val="000000" w:themeColor="text1"/>
        </w:rPr>
        <w:t xml:space="preserve">, </w:t>
      </w:r>
      <w:r w:rsidR="00E57761" w:rsidRPr="00F66B3C">
        <w:rPr>
          <w:rFonts w:ascii="Times New Roman" w:hAnsi="Times New Roman" w:cs="Times New Roman"/>
          <w:color w:val="000000" w:themeColor="text1"/>
        </w:rPr>
        <w:fldChar w:fldCharType="begin" w:fldLock="1"/>
      </w:r>
      <w:r w:rsidR="00E57761" w:rsidRPr="00F66B3C">
        <w:rPr>
          <w:rFonts w:ascii="Times New Roman" w:hAnsi="Times New Roman" w:cs="Times New Roman"/>
          <w:color w:val="000000" w:themeColor="text1"/>
        </w:rPr>
        <w:instrText>ADDIN CSL_CITATION { "citationItems" : [ { "id" : "ITEM-1", "itemData" : { "DOI" : "10.1057/jibs.2015.32", "ISBN" : "0047-2506", "ISSN" : "0047-2506", "abstract" : "We examine cross-border syndication in investments led by foreign venture capitalists (VCs) focusing on the potential correlation between cultural differences and the formation of VC syndicates. Contrary to the risk-sharing motive, we find that a greater cultural disparity between the countries of investors and their companies is actually associated with smaller VC syndicates. This is driven largely by lesser local investor representation in foreign VC-led syndicates. However, certain cultural disparity-related syndication strategies, such as the involvement of locally experienced foreign VCs or syndicate members from culturally similar countries, are associated with greater presence of local VCs who provide valuable monitoring services. We further show that these culture-linked syndication approaches are significantly correlated with VC financing and monitoring strategies in cross-border investments and their eventual success.", "author" : [ { "dropping-particle" : "", "family" : "Dai", "given" : "Na", "non-dropping-particle" : "", "parse-names" : false, "suffix" : "" }, { "dropping-particle" : "", "family" : "Nahata", "given" : "Rajarishi", "non-dropping-particle" : "", "parse-names" : false, "suffix" : "" } ], "container-title" : "Journal of International Business Studies", "id" : "ITEM-1", "issue" : "2", "issued" : { "date-parts" : [ [ "2015" ] ] }, "page" : "1-30", "title" : "Cultural differences and cross-border venture capital syndication", "type" : "article-journal", "volume" : "47" }, "uris" : [ "http://www.mendeley.com/documents/?uuid=8365f90f-90e9-42f7-9222-db80d06779f3" ] } ], "mendeley" : { "formattedCitation" : "Dai and Nahata (2015)", "plainTextFormattedCitation" : "Dai and Nahata (2015)", "previouslyFormattedCitation" : "Dai and Nahata (2015)" }, "properties" : { "noteIndex" : 0 }, "schema" : "https://github.com/citation-style-language/schema/raw/master/csl-citation.json" }</w:instrText>
      </w:r>
      <w:r w:rsidR="00E57761" w:rsidRPr="00F66B3C">
        <w:rPr>
          <w:rFonts w:ascii="Times New Roman" w:hAnsi="Times New Roman" w:cs="Times New Roman"/>
          <w:color w:val="000000" w:themeColor="text1"/>
        </w:rPr>
        <w:fldChar w:fldCharType="separate"/>
      </w:r>
      <w:r w:rsidR="00E57761" w:rsidRPr="00F66B3C">
        <w:rPr>
          <w:rFonts w:ascii="Times New Roman" w:hAnsi="Times New Roman" w:cs="Times New Roman"/>
          <w:noProof/>
          <w:color w:val="000000" w:themeColor="text1"/>
        </w:rPr>
        <w:t>Dai and Nahata (2015)</w:t>
      </w:r>
      <w:r w:rsidR="00E57761" w:rsidRPr="00F66B3C">
        <w:rPr>
          <w:rFonts w:ascii="Times New Roman" w:hAnsi="Times New Roman" w:cs="Times New Roman"/>
          <w:color w:val="000000" w:themeColor="text1"/>
        </w:rPr>
        <w:fldChar w:fldCharType="end"/>
      </w:r>
      <w:r w:rsidR="00E57761" w:rsidRPr="00F66B3C">
        <w:rPr>
          <w:rFonts w:ascii="Times New Roman" w:hAnsi="Times New Roman" w:cs="Times New Roman"/>
          <w:color w:val="000000" w:themeColor="text1"/>
        </w:rPr>
        <w:t xml:space="preserve">, and </w:t>
      </w:r>
      <w:r w:rsidR="00E57761" w:rsidRPr="00F66B3C">
        <w:rPr>
          <w:rFonts w:ascii="Times New Roman" w:hAnsi="Times New Roman" w:cs="Times New Roman"/>
          <w:color w:val="000000" w:themeColor="text1"/>
        </w:rPr>
        <w:fldChar w:fldCharType="begin" w:fldLock="1"/>
      </w:r>
      <w:r w:rsidR="00E57761" w:rsidRPr="00F66B3C">
        <w:rPr>
          <w:rFonts w:ascii="Times New Roman" w:hAnsi="Times New Roman" w:cs="Times New Roman"/>
          <w:color w:val="000000" w:themeColor="text1"/>
        </w:rPr>
        <w:instrText>ADDIN CSL_CITATION { "citationItems" : [ { "id" : "ITEM-1", "itemData" : { "DOI" : "10.1057/s41267-016-0029-9", "ISSN" : "0047-2506", "abstract" : "The agency theory and law and finance literatures show good country governance encourages financial development, mitigates agency problems, and increases firm value. Drawing on these literatures, we develop a theory that benefits from good country governance are portable by firms across countries through cross-border acquisitions. Using acquisitions from 56 countries from 1990 to 2007, we find that acquirers can transport the benefits from good country governance, so that they gain more from acquiring targets with worse country governance than their own. As predicted, the acquirer\u2019s stock-price reaction to acquisitions increases with the country governance distance between the acquirer and the target.", "author" : [ { "dropping-particle" : "", "family" : "Ellis", "given" : "Jesse A", "non-dropping-particle" : "", "parse-names" : false, "suffix" : "" }, { "dropping-particle" : "", "family" : "Moeller", "given" : "Sara B", "non-dropping-particle" : "", "parse-names" : false, "suffix" : "" }, { "dropping-particle" : "", "family" : "Schlingemann", "given" : "Frederik P", "non-dropping-particle" : "", "parse-names" : false, "suffix" : "" }, { "dropping-particle" : "", "family" : "Stulz", "given" : "Ren\u00e9 M", "non-dropping-particle" : "", "parse-names" : false, "suffix" : "" } ], "container-title" : "Journal of International Business Studies", "id" : "ITEM-1", "issued" : { "date-parts" : [ [ "2016" ] ] }, "page" : "1-26", "title" : "Portable country governance and cross-border acquisitions", "type" : "article-journal" }, "uris" : [ "http://www.mendeley.com/documents/?uuid=de52710e-6e50-4756-8d64-a2a80c0beb34" ] } ], "mendeley" : { "formattedCitation" : "Ellis et al. (2016)", "plainTextFormattedCitation" : "Ellis et al. (2016)" }, "properties" : { "noteIndex" : 0 }, "schema" : "https://github.com/citation-style-language/schema/raw/master/csl-citation.json" }</w:instrText>
      </w:r>
      <w:r w:rsidR="00E57761" w:rsidRPr="00F66B3C">
        <w:rPr>
          <w:rFonts w:ascii="Times New Roman" w:hAnsi="Times New Roman" w:cs="Times New Roman"/>
          <w:color w:val="000000" w:themeColor="text1"/>
        </w:rPr>
        <w:fldChar w:fldCharType="separate"/>
      </w:r>
      <w:r w:rsidR="00E57761" w:rsidRPr="00F66B3C">
        <w:rPr>
          <w:rFonts w:ascii="Times New Roman" w:hAnsi="Times New Roman" w:cs="Times New Roman"/>
          <w:noProof/>
          <w:color w:val="000000" w:themeColor="text1"/>
        </w:rPr>
        <w:t>Ellis et al. (2016)</w:t>
      </w:r>
      <w:r w:rsidR="00E57761" w:rsidRPr="00F66B3C">
        <w:rPr>
          <w:rFonts w:ascii="Times New Roman" w:hAnsi="Times New Roman" w:cs="Times New Roman"/>
          <w:color w:val="000000" w:themeColor="text1"/>
        </w:rPr>
        <w:fldChar w:fldCharType="end"/>
      </w:r>
      <w:r w:rsidR="00716912" w:rsidRPr="00F66B3C">
        <w:rPr>
          <w:rFonts w:ascii="Times New Roman" w:hAnsi="Times New Roman" w:cs="Times New Roman"/>
          <w:color w:val="000000" w:themeColor="text1"/>
        </w:rPr>
        <w:t>, among others.</w:t>
      </w:r>
    </w:p>
    <w:p w:rsidR="00C56961" w:rsidRPr="00970C35" w:rsidRDefault="00C56961" w:rsidP="00C56961">
      <w:pPr>
        <w:spacing w:after="0" w:line="480" w:lineRule="auto"/>
        <w:ind w:firstLine="288"/>
        <w:jc w:val="both"/>
        <w:rPr>
          <w:rFonts w:ascii="Times New Roman" w:hAnsi="Times New Roman" w:cs="Times New Roman"/>
        </w:rPr>
      </w:pPr>
      <w:r w:rsidRPr="00970C35">
        <w:rPr>
          <w:rFonts w:ascii="Times New Roman" w:hAnsi="Times New Roman" w:cs="Times New Roman"/>
        </w:rPr>
        <w:t xml:space="preserve">One cross-country study on corporate investment is </w:t>
      </w:r>
      <w:r w:rsidR="00115919" w:rsidRPr="00970C35">
        <w:rPr>
          <w:rFonts w:ascii="Times New Roman" w:hAnsi="Times New Roman" w:cs="Times New Roman"/>
        </w:rPr>
        <w:t xml:space="preserve">by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"author" : [ { "dropping-particle" : "", "family" : "McLean", "given" : "R David", "non-dropping-particle" : "", "parse-names" : false, "suffix" : "" }, { "dropping-particle" : "", "family" : "Zhang", "given" : "Tianyu", "non-dropping-particle" : "", "parse-names" : false, "suffix" : "" }, { "dropping-particle" : "", "family" : "Zhao", "given" : "Mengxin", "non-dropping-particle" : "", "parse-names" : false, "suffix" : "" } ], "container-title" : "The Journal of Finance", "id" : "ITEM-1", "issue" : "1", "issued" : { "date-parts" : [ [ "2012" ] ] }, "page" : "313-350", "title" : "Why Does the Law Matter? Investor Protection and Its Effects on Investment, Finance, and Growth", "type" : "article-journal", "volume" : "LXVII" }, "uris" : [ "http://www.mendeley.com/documents/?uuid=b921f2b2-181d-495e-894a-2e4a0385891f" ] } ], "mendeley" : { "formattedCitation" : "McLean, Zhang, and Zhao (2012)", "plainTextFormattedCitation" : "McLean, Zhang, and Zhao (2012)", "previouslyFormattedCitation" : "McLean, Zhang, and Zhao (2012)"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McLean, Zhang, and Zhao (2012)</w:t>
      </w:r>
      <w:r w:rsidRPr="00970C35">
        <w:rPr>
          <w:rFonts w:ascii="Times New Roman" w:hAnsi="Times New Roman" w:cs="Times New Roman"/>
        </w:rPr>
        <w:fldChar w:fldCharType="end"/>
      </w:r>
      <w:r w:rsidRPr="00970C35">
        <w:rPr>
          <w:rFonts w:ascii="Times New Roman" w:hAnsi="Times New Roman" w:cs="Times New Roman"/>
        </w:rPr>
        <w:t>, who show that firms’ investment is more sensitive to Tobin’s q in countries with better investor protection. They use investment-q sensitivity to measure how responsive firms’ investment is to their investment opportunities</w:t>
      </w:r>
      <w:r w:rsidR="00115919" w:rsidRPr="00970C35">
        <w:rPr>
          <w:rFonts w:ascii="Times New Roman" w:hAnsi="Times New Roman" w:cs="Times New Roman"/>
        </w:rPr>
        <w:t>,</w:t>
      </w:r>
      <w:r w:rsidRPr="00970C35">
        <w:rPr>
          <w:rFonts w:ascii="Times New Roman" w:hAnsi="Times New Roman" w:cs="Times New Roman"/>
        </w:rPr>
        <w:t xml:space="preserve"> and interpret higher sensitivity as evidence of less financial constraint. More closely related to our study is</w:t>
      </w:r>
      <w:r w:rsidR="008E40E0" w:rsidRPr="00970C35">
        <w:rPr>
          <w:rFonts w:ascii="Times New Roman" w:hAnsi="Times New Roman" w:cs="Times New Roman"/>
        </w:rPr>
        <w:t xml:space="preserve"> </w:t>
      </w:r>
      <w:r w:rsidR="008E40E0"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"10.1016/j.jfineco.2014.10.011", "ISBN" : "0304-405X", "ISSN" : "0304405X", "abstract" : "We use a unique data set that contains information on more than 1,000 Chief Executive Officers (CEOs) and Chief Financial Officers (CFOs) around the world to investigate the degree to which executives delegate financial decisions and the circumstances that drive variation in delegation. Delegation does not appear to be monolithic; instead, our results show that it varies across corporate policies and also varies with the personal characteristics of the CEO. We find that CEOs delegate financial decisions for which they need the most input, when they are overloaded, and when they are distracted by recent acquisitions. CEOs delegate less when they are knowledgeable (long-tenured or with a finance background). Capital is allocated based on \"gut feel\" and the personal reputation of the manager running a given division. Finally, corporate politics and corporate socialism affect capital allocation in European and Asian firms.", "author" : [ { "dropping-particle" : "", "family" : "Graham", "given" : "John R.", "non-dropping-particle" : "", "parse-names" : false, "suffix" : "" }, { "dropping-particle" : "", "family" : "Harvey", "given" : "Campbell R.", "non-dropping-particle" : "", "parse-names" : false, "suffix" : "" }, { "dropping-particle" : "", "family" : "Puri", "given" : "Manju", "non-dropping-particle" : "", "parse-names" : false, "suffix" : "" } ], "container-title" : "Journal of Financial Economics", "id" : "ITEM-1", "issue" : "3", "issued" : { "date-parts" : [ [ "2015" ] ] }, "page" : "449-470", "publisher" : "Elsevier", "title" : "Capital allocation and delegation of decision-making authority within firms", "type" : "article-journal", "volume" : "115" }, "uris" : [ "http://www.mendeley.com/documents/?uuid=44a23cc6-895c-4883-a6ed-a1a8a867a33d" ] } ], "mendeley" : { "formattedCitation" : "Graham, Harvey, and Puri (2015)", "plainTextFormattedCitation" : "Graham, Harvey, and Puri (2015)", "previouslyFormattedCitation" : "Graham, Harvey, and Puri (2015)" }, "properties" : { "noteIndex" : 0 }, "schema" : "https://github.com/citation-style-language/schema/raw/master/csl-citation.json" }</w:instrText>
      </w:r>
      <w:r w:rsidR="008E40E0" w:rsidRPr="00970C35">
        <w:rPr>
          <w:rFonts w:ascii="Times New Roman" w:hAnsi="Times New Roman" w:cs="Times New Roman"/>
        </w:rPr>
        <w:fldChar w:fldCharType="separate"/>
      </w:r>
      <w:r w:rsidR="00C462AD" w:rsidRPr="00970C35">
        <w:rPr>
          <w:rFonts w:ascii="Times New Roman" w:hAnsi="Times New Roman" w:cs="Times New Roman"/>
          <w:noProof/>
        </w:rPr>
        <w:t>Graham, Harvey, and Puri (2015)</w:t>
      </w:r>
      <w:r w:rsidR="008E40E0" w:rsidRPr="00970C35">
        <w:rPr>
          <w:rFonts w:ascii="Times New Roman" w:hAnsi="Times New Roman" w:cs="Times New Roman"/>
        </w:rPr>
        <w:fldChar w:fldCharType="end"/>
      </w:r>
      <w:r w:rsidRPr="00970C35">
        <w:rPr>
          <w:rFonts w:ascii="Times New Roman" w:hAnsi="Times New Roman" w:cs="Times New Roman"/>
        </w:rPr>
        <w:t xml:space="preserve">, who study internal capital allocation in the global market and find results consistent with ours, but their </w:t>
      </w:r>
      <w:r w:rsidR="00115919" w:rsidRPr="00970C35">
        <w:rPr>
          <w:rFonts w:ascii="Times New Roman" w:hAnsi="Times New Roman" w:cs="Times New Roman"/>
        </w:rPr>
        <w:t>research</w:t>
      </w:r>
      <w:r w:rsidRPr="00970C35">
        <w:rPr>
          <w:rFonts w:ascii="Times New Roman" w:hAnsi="Times New Roman" w:cs="Times New Roman"/>
        </w:rPr>
        <w:t xml:space="preserve"> is survey-based. Specifically, they find that it is common practice that CEOs delegate corporate investment decisions to divisional managers, and that “socialism” in capital allocation is more frequent in Asian and European firms compared with those in the U</w:t>
      </w:r>
      <w:r w:rsidR="00115919" w:rsidRPr="00970C35">
        <w:rPr>
          <w:rFonts w:ascii="Times New Roman" w:hAnsi="Times New Roman" w:cs="Times New Roman"/>
        </w:rPr>
        <w:t>.</w:t>
      </w:r>
      <w:r w:rsidRPr="00970C35">
        <w:rPr>
          <w:rFonts w:ascii="Times New Roman" w:hAnsi="Times New Roman" w:cs="Times New Roman"/>
        </w:rPr>
        <w:t>S</w:t>
      </w:r>
      <w:r w:rsidR="00115919" w:rsidRPr="00970C35">
        <w:rPr>
          <w:rFonts w:ascii="Times New Roman" w:hAnsi="Times New Roman" w:cs="Times New Roman"/>
        </w:rPr>
        <w:t>.</w:t>
      </w:r>
      <w:r w:rsidRPr="00970C35">
        <w:rPr>
          <w:rFonts w:ascii="Times New Roman" w:hAnsi="Times New Roman" w:cs="Times New Roman"/>
        </w:rPr>
        <w:t>, which they speculate is because firms in Asian and European countries receive less incentive pay than do U</w:t>
      </w:r>
      <w:r w:rsidR="00115919" w:rsidRPr="00970C35">
        <w:rPr>
          <w:rFonts w:ascii="Times New Roman" w:hAnsi="Times New Roman" w:cs="Times New Roman"/>
        </w:rPr>
        <w:t>.</w:t>
      </w:r>
      <w:r w:rsidRPr="00970C35">
        <w:rPr>
          <w:rFonts w:ascii="Times New Roman" w:hAnsi="Times New Roman" w:cs="Times New Roman"/>
        </w:rPr>
        <w:t>S</w:t>
      </w:r>
      <w:r w:rsidR="00115919" w:rsidRPr="00970C35">
        <w:rPr>
          <w:rFonts w:ascii="Times New Roman" w:hAnsi="Times New Roman" w:cs="Times New Roman"/>
        </w:rPr>
        <w:t>.</w:t>
      </w:r>
      <w:r w:rsidRPr="00970C35">
        <w:rPr>
          <w:rFonts w:ascii="Times New Roman" w:hAnsi="Times New Roman" w:cs="Times New Roman"/>
        </w:rPr>
        <w:t xml:space="preserve"> executives. </w:t>
      </w:r>
      <w:r w:rsidR="00F108B5" w:rsidRPr="00970C35">
        <w:rPr>
          <w:rFonts w:ascii="Times New Roman" w:hAnsi="Times New Roman" w:cs="Times New Roman"/>
        </w:rPr>
        <w:t xml:space="preserve">Nevertheless, based on our study, another explanation for their results is the differences in </w:t>
      </w:r>
      <w:r w:rsidR="00F108B5" w:rsidRPr="00970C35">
        <w:rPr>
          <w:rFonts w:ascii="Times New Roman" w:hAnsi="Times New Roman" w:cs="Times New Roman"/>
        </w:rPr>
        <w:lastRenderedPageBreak/>
        <w:t xml:space="preserve">country-level institutions between countries in Asia and Europe and those in North America, which is missing in their investigation. </w:t>
      </w:r>
      <w:r w:rsidRPr="00970C35">
        <w:rPr>
          <w:rFonts w:ascii="Times New Roman" w:hAnsi="Times New Roman" w:cs="Times New Roman"/>
        </w:rPr>
        <w:t>In addition, Wurgler (2000) argues that strong minority investor rights are associated with more efficient capital allocation at</w:t>
      </w:r>
      <w:r w:rsidR="00115919" w:rsidRPr="00970C35">
        <w:rPr>
          <w:rFonts w:ascii="Times New Roman" w:hAnsi="Times New Roman" w:cs="Times New Roman"/>
        </w:rPr>
        <w:t xml:space="preserve"> the</w:t>
      </w:r>
      <w:r w:rsidRPr="00970C35">
        <w:rPr>
          <w:rFonts w:ascii="Times New Roman" w:hAnsi="Times New Roman" w:cs="Times New Roman"/>
        </w:rPr>
        <w:t xml:space="preserve"> industry level: countries with more developed financial sectors invest more in their growing industries </w:t>
      </w:r>
      <w:r w:rsidRPr="00970C35">
        <w:rPr>
          <w:rFonts w:ascii="Times New Roman" w:eastAsia="맑은 고딕" w:hAnsi="Times New Roman" w:cs="Times New Roman"/>
          <w:lang w:eastAsia="ko-KR"/>
        </w:rPr>
        <w:t>(</w:t>
      </w:r>
      <w:r w:rsidRPr="00970C35">
        <w:rPr>
          <w:rFonts w:ascii="Times New Roman" w:hAnsi="Times New Roman" w:cs="Times New Roman"/>
        </w:rPr>
        <w:t>less in their declining industries</w:t>
      </w:r>
      <w:r w:rsidRPr="00970C35">
        <w:rPr>
          <w:rFonts w:ascii="Times New Roman" w:eastAsia="맑은 고딕" w:hAnsi="Times New Roman" w:cs="Times New Roman"/>
          <w:lang w:eastAsia="ko-KR"/>
        </w:rPr>
        <w:t>)</w:t>
      </w:r>
      <w:r w:rsidRPr="00970C35">
        <w:rPr>
          <w:rFonts w:ascii="Times New Roman" w:hAnsi="Times New Roman" w:cs="Times New Roman"/>
        </w:rPr>
        <w:t xml:space="preserve"> than those with undeveloped financial sectors. </w:t>
      </w:r>
      <w:r w:rsidR="00115919" w:rsidRPr="00970C35">
        <w:rPr>
          <w:rFonts w:ascii="Times New Roman" w:hAnsi="Times New Roman" w:cs="Times New Roman"/>
        </w:rPr>
        <w:t>Wurgler</w:t>
      </w:r>
      <w:r w:rsidRPr="00970C35">
        <w:rPr>
          <w:rFonts w:ascii="Times New Roman" w:hAnsi="Times New Roman" w:cs="Times New Roman"/>
        </w:rPr>
        <w:t xml:space="preserve"> further shows that minority investor rights improve capital allocation by limiting the supply of finance to declining industries rather than improving investment in growing industries. However, the capital allocation literature is lacking more direct evidence on the specific channels through which firms improve allocation and investment efficiency. We seek to fill this gap by showing that the “fourth quarter effect” is one of such channels</w:t>
      </w:r>
      <w:r w:rsidR="00115919" w:rsidRPr="00970C35">
        <w:rPr>
          <w:rFonts w:ascii="Times New Roman" w:hAnsi="Times New Roman" w:cs="Times New Roman"/>
        </w:rPr>
        <w:t>,</w:t>
      </w:r>
      <w:r w:rsidRPr="00970C35">
        <w:rPr>
          <w:rFonts w:ascii="Times New Roman" w:hAnsi="Times New Roman" w:cs="Times New Roman"/>
        </w:rPr>
        <w:t xml:space="preserve"> and provide evidence on how external frictions lead to </w:t>
      </w:r>
      <w:r w:rsidR="00115919" w:rsidRPr="00970C35">
        <w:rPr>
          <w:rFonts w:ascii="Times New Roman" w:hAnsi="Times New Roman" w:cs="Times New Roman"/>
        </w:rPr>
        <w:t>firms’</w:t>
      </w:r>
      <w:r w:rsidRPr="00970C35">
        <w:rPr>
          <w:rFonts w:ascii="Times New Roman" w:hAnsi="Times New Roman" w:cs="Times New Roman"/>
        </w:rPr>
        <w:t xml:space="preserve"> inefficient capital budgeting and allocation.</w:t>
      </w:r>
      <w:r w:rsidR="00E57761">
        <w:rPr>
          <w:rFonts w:ascii="Times New Roman" w:hAnsi="Times New Roman" w:cs="Times New Roman"/>
        </w:rPr>
        <w:t xml:space="preserve"> </w:t>
      </w:r>
    </w:p>
    <w:p w:rsidR="00C56961" w:rsidRPr="00970C35" w:rsidRDefault="00C56961" w:rsidP="00C56961">
      <w:pPr>
        <w:spacing w:after="0" w:line="480" w:lineRule="auto"/>
        <w:ind w:firstLine="288"/>
        <w:jc w:val="both"/>
        <w:rPr>
          <w:rFonts w:ascii="Times New Roman" w:hAnsi="Times New Roman" w:cs="Times New Roman"/>
        </w:rPr>
      </w:pPr>
      <w:r w:rsidRPr="00970C35">
        <w:rPr>
          <w:rFonts w:ascii="Times New Roman" w:hAnsi="Times New Roman" w:cs="Times New Roman"/>
        </w:rPr>
        <w:t>Second, in the accounting and finance literature, several studies document</w:t>
      </w:r>
      <w:r w:rsidR="00682790" w:rsidRPr="00970C35">
        <w:rPr>
          <w:rFonts w:ascii="Times New Roman" w:hAnsi="Times New Roman" w:cs="Times New Roman"/>
        </w:rPr>
        <w:t xml:space="preserve"> certain</w:t>
      </w:r>
      <w:r w:rsidRPr="00970C35">
        <w:rPr>
          <w:rFonts w:ascii="Times New Roman" w:hAnsi="Times New Roman" w:cs="Times New Roman"/>
        </w:rPr>
        <w:t xml:space="preserve"> seasonal patterns in firms’ behaviors. For example,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"author" : [ { "dropping-particle" : "", "family" : "Oyer", "given" : "Paul", "non-dropping-particle" : "", "parse-names" : false, "suffix" : "" } ], "container-title" : "Quarterly Journal of Economics", "id" : "ITEM-1", "issue" : "1", "issued" : { "date-parts" : [ [ "1998" ] ] }, "page" : "149-185", "title" : "Fiscal Year Ends and Nonlinear Incentive Contracts : The Effect on Business Seasonality", "type" : "article-journal", "volume" : "113" }, "uris" : [ "http://www.mendeley.com/documents/?uuid=fb133569-c770-494b-a48a-0951071bef0a" ] } ], "mendeley" : { "formattedCitation" : "Oyer (1998)", "plainTextFormattedCitation" : "Oyer (1998)", "previouslyFormattedCitation" : "Oyer (1998)"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Oyer (1998)</w:t>
      </w:r>
      <w:r w:rsidRPr="00970C35">
        <w:rPr>
          <w:rFonts w:ascii="Times New Roman" w:hAnsi="Times New Roman" w:cs="Times New Roman"/>
        </w:rPr>
        <w:fldChar w:fldCharType="end"/>
      </w:r>
      <w:r w:rsidRPr="00970C35">
        <w:rPr>
          <w:rFonts w:ascii="Times New Roman" w:hAnsi="Times New Roman" w:cs="Times New Roman"/>
        </w:rPr>
        <w:t xml:space="preserve"> documents seasonality in firm</w:t>
      </w:r>
      <w:r w:rsidR="00115919" w:rsidRPr="00970C35">
        <w:rPr>
          <w:rFonts w:ascii="Times New Roman" w:hAnsi="Times New Roman" w:cs="Times New Roman"/>
        </w:rPr>
        <w:t>s</w:t>
      </w:r>
      <w:r w:rsidRPr="00970C35">
        <w:rPr>
          <w:rFonts w:ascii="Times New Roman" w:hAnsi="Times New Roman" w:cs="Times New Roman"/>
        </w:rPr>
        <w:t xml:space="preserve">’ sales and revenues, and show that this is due to non-linear incentive contracts between firms and agents. In addition,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"10.1506/car.26.3.7", "ISBN" : "08239150", "ISSN" : "0823-9150", "PMID" : "44282675", "abstract" : "The article introduces a study published within the issue titled \"Quarterly Earnings Patterns and Earnings Management,\" by Somnath Das, Pervin K. Shroff, and Haiwen Zhang, which discusses the identification of firms engaging in earnings management through the observation of patterns in quarterly earnings changes.", "author" : [ { "dropping-particle" : "", "family" : "Das", "given" : "Somnath", "non-dropping-particle" : "", "parse-names" : false, "suffix" : "" }, { "dropping-particle" : "", "family" : "Shroff", "given" : "Pervin K", "non-dropping-particle" : "", "parse-names" : false, "suffix" : "" }, { "dropping-particle" : "", "family" : "Zhang", "given" : "Haiwen", "non-dropping-particle" : "", "parse-names" : false, "suffix" : "" } ], "container-title" : "Contemporary Accounting Research", "id" : "ITEM-1", "issue" : "3", "issued" : { "date-parts" : [ [ "2009" ] ] }, "page" : "797-831", "title" : "Quarterly Earnings Patterns and Earnings Management", "type" : "article-journal", "volume" : "26" }, "uris" : [ "http://www.mendeley.com/documents/?uuid=19a68095-7721-4f62-94c1-0b91bbc5fdfb" ] } ], "mendeley" : { "formattedCitation" : "Das, Shroff, and Zhang (2009)", "plainTextFormattedCitation" : "Das, Shroff, and Zhang (2009)", "previouslyFormattedCitation" : "Das, Shroff, and Zhang (2009)"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Das, Shroff, and Zhang (2009)</w:t>
      </w:r>
      <w:r w:rsidRPr="00970C35">
        <w:rPr>
          <w:rFonts w:ascii="Times New Roman" w:hAnsi="Times New Roman" w:cs="Times New Roman"/>
        </w:rPr>
        <w:fldChar w:fldCharType="end"/>
      </w:r>
      <w:r w:rsidRPr="00970C35">
        <w:rPr>
          <w:rFonts w:ascii="Times New Roman" w:hAnsi="Times New Roman" w:cs="Times New Roman"/>
        </w:rPr>
        <w:t xml:space="preserve"> </w:t>
      </w:r>
      <w:r w:rsidR="00115919" w:rsidRPr="00970C35">
        <w:rPr>
          <w:rFonts w:ascii="Times New Roman" w:hAnsi="Times New Roman" w:cs="Times New Roman"/>
        </w:rPr>
        <w:t>point out</w:t>
      </w:r>
      <w:r w:rsidRPr="00970C35">
        <w:rPr>
          <w:rFonts w:ascii="Times New Roman" w:hAnsi="Times New Roman" w:cs="Times New Roman"/>
        </w:rPr>
        <w:t xml:space="preserve"> that companies may choose to smooth earnings in the fourth fiscal quarter. Specifically, firms that are smaller (larger), more (less) levered, and with weaker (stronger) earnings performance during the year tend to manage earnings upward (downward). Moreover,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"10.1016/j.jacceco.2006.01.002", "ISBN" : "0165-4101", "ISSN" : "01654101", "abstract" : "I find evidence consistent with managers manipulating real activities to avoid reporting annual losses. Specifically, I find evidence suggesting price discounts to temporarily increase sales, overproduction to report lower cost of goods sold, and reduction of discretionary expenditures to improve reported margins. Cross-sectional analysis reveals that these activities are less prevalent in the presence of sophisticated investors. Other factors that influence real activities manipulation include industry membership, the stock of inventories and receivables, and incentives to meet zero earnings. There is also some, though less robust, evidence of real activities manipulation to meet annual analyst forecasts. ?? 2006 Elsevier B.V. All rights reserved.", "author" : [ { "dropping-particle" : "", "family" : "Roychowdhury", "given" : "Sugata", "non-dropping-particle" : "", "parse-names" : false, "suffix" : "" } ], "container-title" : "Journal of Accounting and Economics", "id" : "ITEM-1", "issue" : "3", "issued" : { "date-parts" : [ [ "2006" ] ] }, "page" : "335-370", "title" : "Earnings management through real activities manipulation", "type" : "article-journal", "volume" : "42" }, "uris" : [ "http://www.mendeley.com/documents/?uuid=0c90b8da-e699-41f3-b938-b5caca004ba7" ] } ], "mendeley" : { "formattedCitation" : "Roychowdhury (2006)", "plainTextFormattedCitation" : "Roychowdhury (2006)", "previouslyFormattedCitation" : "Roychowdhury (2006)"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Roychowdhury (2006)</w:t>
      </w:r>
      <w:r w:rsidRPr="00970C35">
        <w:rPr>
          <w:rFonts w:ascii="Times New Roman" w:hAnsi="Times New Roman" w:cs="Times New Roman"/>
        </w:rPr>
        <w:fldChar w:fldCharType="end"/>
      </w:r>
      <w:r w:rsidRPr="00970C35">
        <w:rPr>
          <w:rFonts w:ascii="Times New Roman" w:hAnsi="Times New Roman" w:cs="Times New Roman"/>
        </w:rPr>
        <w:t xml:space="preserve"> shows that managers may also manipulate real activities to avoid reporting annual losses. These activities could include boosting annual sales by offering substantial price discounts</w:t>
      </w:r>
      <w:r w:rsidR="00115919" w:rsidRPr="00970C35">
        <w:rPr>
          <w:rFonts w:ascii="Times New Roman" w:hAnsi="Times New Roman" w:cs="Times New Roman"/>
        </w:rPr>
        <w:t>,</w:t>
      </w:r>
      <w:r w:rsidRPr="00970C35">
        <w:rPr>
          <w:rFonts w:ascii="Times New Roman" w:hAnsi="Times New Roman" w:cs="Times New Roman"/>
        </w:rPr>
        <w:t xml:space="preserve"> or reduction of discretionary expenditures such as pl</w:t>
      </w:r>
      <w:r w:rsidR="00115919" w:rsidRPr="00970C35">
        <w:rPr>
          <w:rFonts w:ascii="Times New Roman" w:hAnsi="Times New Roman" w:cs="Times New Roman"/>
        </w:rPr>
        <w:t>ant maintenance and R&amp;D expenditures</w:t>
      </w:r>
      <w:r w:rsidRPr="00970C35">
        <w:rPr>
          <w:rFonts w:ascii="Times New Roman" w:hAnsi="Times New Roman" w:cs="Times New Roman"/>
        </w:rPr>
        <w:t xml:space="preserve">. </w:t>
      </w:r>
    </w:p>
    <w:p w:rsidR="00C56961" w:rsidRPr="00970C35" w:rsidRDefault="00C56961" w:rsidP="00C56961">
      <w:pPr>
        <w:spacing w:after="0" w:line="480" w:lineRule="auto"/>
        <w:ind w:firstLine="288"/>
        <w:jc w:val="both"/>
        <w:rPr>
          <w:rFonts w:ascii="Times New Roman" w:hAnsi="Times New Roman" w:cs="Times New Roman"/>
        </w:rPr>
      </w:pPr>
      <w:r w:rsidRPr="00970C35">
        <w:rPr>
          <w:rFonts w:ascii="Times New Roman" w:hAnsi="Times New Roman" w:cs="Times New Roman"/>
        </w:rPr>
        <w:t xml:space="preserve">In the context of corporate investment, </w:t>
      </w:r>
      <w:r w:rsidR="00682790" w:rsidRPr="00970C35">
        <w:rPr>
          <w:rFonts w:ascii="Times New Roman" w:hAnsi="Times New Roman" w:cs="Times New Roman"/>
        </w:rPr>
        <w:t xml:space="preserve">a recent study by </w:t>
      </w:r>
      <w:r w:rsidR="00682790"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"10.1145/2462456.2464460", "ISBN" : "9781450316729", "abstract" : "Many organizations fund their spending out of a fixed budget that expires at year\u2019s end. Faced with uncertainty over future spending demands, these organizations have an incentive to build a buffer stock of funds over the front end of the budget cycle. When demand does not materialize, they then rush to spend these funds on lower quality projects at the end of the year. We test these predictions using data on procurement spending by the U.S. federal government. Using data on all federal contracts from 2004 through 2009, we document that spending spikes in all major federal agencies during the 52nd week of the year as the agencies rush to exhaust expiring budget authority. Spending in the last week of the year is 4.9 times higher than the rest-of-the-year weekly average. We examine the relative quality of year-end spending using a newly available dataset that tracks the quality of $130 billion in information technology (I.T.) projects made by federal agencies. Consistent with the model, average project quality falls at the end of the year. Quality scores in the last week of the year are 2.2 to 5.6 times more likely to be below the central value. To explore the impact of allowing agencies to roll unused spending over into subsequent fiscal years, we study the I.T. contracts of an agency with special authority to roll over unused funding. We show that there is only a small end-of-year I.T. spending spike in this agency and that the one major I.T. contract this agency issued in the 52nd week of the year has a quality rating that is well above average.", "author" : [ { "dropping-particle" : "", "family" : "Liebman", "given" : "Jeffrey B.", "non-dropping-particle" : "", "parse-names" : false, "suffix" : "" }, { "dropping-particle" : "", "family" : "Mahoney", "given" : "Neale", "non-dropping-particle" : "", "parse-names" : false, "suffix" : "" } ], "container-title" : "NBER Working Paper 19481", "id" : "ITEM-1", "issued" : { "date-parts" : [ [ "2013" ] ] }, "title" : "Do Expiring Budgets Lead to Wasteful Year-end Spending? Evidence from Federal Procurement", "type" : "article-journal" }, "uris" : [ "http://www.mendeley.com/documents/?uuid=41b060e0-767a-4e6b-a466-adb96bd583b0" ] } ], "mendeley" : { "formattedCitation" : "Liebman and Mahoney (2013)", "plainTextFormattedCitation" : "Liebman and Mahoney (2013)", "previouslyFormattedCitation" : "Liebman and Mahoney (2013)" }, "properties" : { "noteIndex" : 0 }, "schema" : "https://github.com/citation-style-language/schema/raw/master/csl-citation.json" }</w:instrText>
      </w:r>
      <w:r w:rsidR="00682790" w:rsidRPr="00970C35">
        <w:rPr>
          <w:rFonts w:ascii="Times New Roman" w:hAnsi="Times New Roman" w:cs="Times New Roman"/>
        </w:rPr>
        <w:fldChar w:fldCharType="separate"/>
      </w:r>
      <w:r w:rsidR="00C462AD" w:rsidRPr="00970C35">
        <w:rPr>
          <w:rFonts w:ascii="Times New Roman" w:hAnsi="Times New Roman" w:cs="Times New Roman"/>
          <w:noProof/>
        </w:rPr>
        <w:t>Liebman and Mahoney (2013)</w:t>
      </w:r>
      <w:r w:rsidR="00682790" w:rsidRPr="00970C35">
        <w:rPr>
          <w:rFonts w:ascii="Times New Roman" w:hAnsi="Times New Roman" w:cs="Times New Roman"/>
        </w:rPr>
        <w:fldChar w:fldCharType="end"/>
      </w:r>
      <w:r w:rsidRPr="00970C35">
        <w:rPr>
          <w:rFonts w:ascii="Times New Roman" w:hAnsi="Times New Roman" w:cs="Times New Roman"/>
        </w:rPr>
        <w:t xml:space="preserve"> show</w:t>
      </w:r>
      <w:r w:rsidR="00682790" w:rsidRPr="00970C35">
        <w:rPr>
          <w:rFonts w:ascii="Times New Roman" w:hAnsi="Times New Roman" w:cs="Times New Roman"/>
        </w:rPr>
        <w:t>s</w:t>
      </w:r>
      <w:r w:rsidRPr="00970C35">
        <w:rPr>
          <w:rFonts w:ascii="Times New Roman" w:hAnsi="Times New Roman" w:cs="Times New Roman"/>
        </w:rPr>
        <w:t xml:space="preserve"> that the abnormally high level of year-end investment is associated with projects with lower qualities</w:t>
      </w:r>
      <w:r w:rsidR="00682790" w:rsidRPr="00970C35">
        <w:rPr>
          <w:rFonts w:ascii="Times New Roman" w:hAnsi="Times New Roman" w:cs="Times New Roman"/>
        </w:rPr>
        <w:t xml:space="preserve"> in the U</w:t>
      </w:r>
      <w:r w:rsidR="00115919" w:rsidRPr="00970C35">
        <w:rPr>
          <w:rFonts w:ascii="Times New Roman" w:hAnsi="Times New Roman" w:cs="Times New Roman"/>
        </w:rPr>
        <w:t>.</w:t>
      </w:r>
      <w:r w:rsidR="00682790" w:rsidRPr="00970C35">
        <w:rPr>
          <w:rFonts w:ascii="Times New Roman" w:hAnsi="Times New Roman" w:cs="Times New Roman"/>
        </w:rPr>
        <w:t>S</w:t>
      </w:r>
      <w:r w:rsidR="00115919" w:rsidRPr="00970C35">
        <w:rPr>
          <w:rFonts w:ascii="Times New Roman" w:hAnsi="Times New Roman" w:cs="Times New Roman"/>
        </w:rPr>
        <w:t>.</w:t>
      </w:r>
      <w:r w:rsidR="00682790" w:rsidRPr="00970C35">
        <w:rPr>
          <w:rFonts w:ascii="Times New Roman" w:hAnsi="Times New Roman" w:cs="Times New Roman"/>
        </w:rPr>
        <w:t xml:space="preserve"> public sector</w:t>
      </w:r>
      <w:r w:rsidRPr="00970C35">
        <w:rPr>
          <w:rFonts w:ascii="Times New Roman" w:hAnsi="Times New Roman" w:cs="Times New Roman"/>
        </w:rPr>
        <w:t xml:space="preserve">, indicating that much of the extra spending is inefficient. </w:t>
      </w:r>
      <w:r w:rsidR="00682790" w:rsidRPr="00970C35">
        <w:rPr>
          <w:rFonts w:ascii="Times New Roman" w:hAnsi="Times New Roman" w:cs="Times New Roman"/>
        </w:rPr>
        <w:t xml:space="preserve">Earlier papers (e.g. </w:t>
      </w:r>
      <w:r w:rsidR="00682790"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"author" : [ { "dropping-particle" : "", "family" : "Callen", "given" : "Jeffrey L.", "non-dropping-particle" : "", "parse-names" : false, "suffix" : "" }, { "dropping-particle" : "", "family" : "Livnat", "given" : "Joshua", "non-dropping-particle" : "", "parse-names" : false, "suffix" : "" }, { "dropping-particle" : "", "family" : "Ryan", "given" : "Stephen G.", "non-dropping-particle" : "", "parse-names" : false, "suffix" : "" } ], "container-title" : "The Journal of Financial Statement Analysis", "id" : "ITEM-1", "issued" : { "date-parts" : [ [ "1996" ] ] }, "page" : "13-24", "title" : "Capital Expenditures: Value-relevance and fourth-quarter effects", "type" : "article-journal" }, "uris" : [ "http://www.mendeley.com/documents/?uuid=41165a56-17be-4e11-bc35-396fa6b1ae7a" ] } ], "mendeley" : { "formattedCitation" : "Callen, Livnat, and Ryan (1996)", "manualFormatting" : "Callen, et al., 1996", "plainTextFormattedCitation" : "Callen, Livnat, and Ryan (1996)", "previouslyFormattedCitation" : "Callen, Livnat, and Ryan (1996)" }, "properties" : { "noteIndex" : 0 }, "schema" : "https://github.com/citation-style-language/schema/raw/master/csl-citation.json" }</w:instrText>
      </w:r>
      <w:r w:rsidR="00682790" w:rsidRPr="00970C35">
        <w:rPr>
          <w:rFonts w:ascii="Times New Roman" w:hAnsi="Times New Roman" w:cs="Times New Roman"/>
        </w:rPr>
        <w:fldChar w:fldCharType="separate"/>
      </w:r>
      <w:r w:rsidR="00682790" w:rsidRPr="00970C35">
        <w:rPr>
          <w:rFonts w:ascii="Times New Roman" w:hAnsi="Times New Roman" w:cs="Times New Roman"/>
          <w:noProof/>
        </w:rPr>
        <w:t>Callen, et al., 1996</w:t>
      </w:r>
      <w:r w:rsidR="00682790" w:rsidRPr="00970C35">
        <w:rPr>
          <w:rFonts w:ascii="Times New Roman" w:hAnsi="Times New Roman" w:cs="Times New Roman"/>
        </w:rPr>
        <w:fldChar w:fldCharType="end"/>
      </w:r>
      <w:r w:rsidR="00682790" w:rsidRPr="00970C35">
        <w:rPr>
          <w:rFonts w:ascii="Times New Roman" w:hAnsi="Times New Roman" w:cs="Times New Roman"/>
        </w:rPr>
        <w:t xml:space="preserve">, </w:t>
      </w:r>
      <w:r w:rsidR="00682790"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"10.1016/S0929-1199(01)00033-5", "ISBN" : "0929-1199", "ISSN" : "09291199", "abstract" : "Using the quarterly Compustat files, we present empirical findings that business capital investment is significantly higher in the fourth quarter than in other quarters. Even after controlling for business capital investment determinants, we find that the fourth quarter capital investment is significantly larger but less sensitive to investment opportunities than other quarters' capital investment. This phenomenon is more evident for firms with larger cash holdings than for firms with smaller cash holdings, for larger firms than for smaller firms, and for diversified firms than for stand-alone firms. Our findings suggest a high level of agency costs in corporate investment decisions. ?? 2002 Elsevier Science B.V. All rights reserved.", "author" : [ { "dropping-particle" : "", "family" : "Shin", "given" : "Hyun-Han", "non-dropping-particle" : "", "parse-names" : false, "suffix" : "" }, { "dropping-particle" : "", "family" : "Kim", "given" : "Yong H.", "non-dropping-particle" : "", "parse-names" : false, "suffix" : "" } ], "container-title" : "Journal of Corporate Finance", "id" : "ITEM-1", "issued" : { "date-parts" : [ [ "2002" ] ] }, "page" : "139-158", "title" : "Agency costs and efficiency of business capital investment: Evidence from quarterly capital expenditures", "type" : "article-journal", "volume" : "8" }, "uris" : [ "http://www.mendeley.com/documents/?uuid=1ecc75bf-057a-4382-be94-515f54fd7cd6" ] } ], "mendeley" : { "formattedCitation" : "Shin and Kim (2002)", "manualFormatting" : "Shin and Kim, 2002", "plainTextFormattedCitation" : "Shin and Kim (2002)", "previouslyFormattedCitation" : "Shin and Kim (2002)" }, "properties" : { "noteIndex" : 0 }, "schema" : "https://github.com/citation-style-language/schema/raw/master/csl-citation.json" }</w:instrText>
      </w:r>
      <w:r w:rsidR="00682790" w:rsidRPr="00970C35">
        <w:rPr>
          <w:rFonts w:ascii="Times New Roman" w:hAnsi="Times New Roman" w:cs="Times New Roman"/>
        </w:rPr>
        <w:fldChar w:fldCharType="separate"/>
      </w:r>
      <w:r w:rsidR="00682790" w:rsidRPr="00970C35">
        <w:rPr>
          <w:rFonts w:ascii="Times New Roman" w:hAnsi="Times New Roman" w:cs="Times New Roman"/>
          <w:noProof/>
        </w:rPr>
        <w:t>Shin and Kim, 2002</w:t>
      </w:r>
      <w:r w:rsidR="00682790" w:rsidRPr="00970C35">
        <w:rPr>
          <w:rFonts w:ascii="Times New Roman" w:hAnsi="Times New Roman" w:cs="Times New Roman"/>
        </w:rPr>
        <w:fldChar w:fldCharType="end"/>
      </w:r>
      <w:r w:rsidR="00682790" w:rsidRPr="00970C35">
        <w:rPr>
          <w:rFonts w:ascii="Times New Roman" w:hAnsi="Times New Roman" w:cs="Times New Roman"/>
        </w:rPr>
        <w:t xml:space="preserve">) </w:t>
      </w:r>
      <w:r w:rsidRPr="00970C35">
        <w:rPr>
          <w:rFonts w:ascii="Times New Roman" w:hAnsi="Times New Roman" w:cs="Times New Roman"/>
        </w:rPr>
        <w:t xml:space="preserve">also </w:t>
      </w:r>
      <w:r w:rsidR="00115919" w:rsidRPr="00970C35">
        <w:rPr>
          <w:rFonts w:ascii="Times New Roman" w:hAnsi="Times New Roman" w:cs="Times New Roman"/>
        </w:rPr>
        <w:t>find</w:t>
      </w:r>
      <w:r w:rsidRPr="00970C35">
        <w:rPr>
          <w:rFonts w:ascii="Times New Roman" w:hAnsi="Times New Roman" w:cs="Times New Roman"/>
        </w:rPr>
        <w:t xml:space="preserve"> similar evidence in the U</w:t>
      </w:r>
      <w:r w:rsidR="00115919" w:rsidRPr="00970C35">
        <w:rPr>
          <w:rFonts w:ascii="Times New Roman" w:hAnsi="Times New Roman" w:cs="Times New Roman"/>
        </w:rPr>
        <w:t>.</w:t>
      </w:r>
      <w:r w:rsidRPr="00970C35">
        <w:rPr>
          <w:rFonts w:ascii="Times New Roman" w:hAnsi="Times New Roman" w:cs="Times New Roman"/>
        </w:rPr>
        <w:t>S</w:t>
      </w:r>
      <w:r w:rsidR="00115919" w:rsidRPr="00970C35">
        <w:rPr>
          <w:rFonts w:ascii="Times New Roman" w:hAnsi="Times New Roman" w:cs="Times New Roman"/>
        </w:rPr>
        <w:t>.</w:t>
      </w:r>
      <w:r w:rsidRPr="00970C35">
        <w:rPr>
          <w:rFonts w:ascii="Times New Roman" w:hAnsi="Times New Roman" w:cs="Times New Roman"/>
        </w:rPr>
        <w:t xml:space="preserve"> </w:t>
      </w:r>
      <w:r w:rsidR="00682790" w:rsidRPr="00970C35">
        <w:rPr>
          <w:rFonts w:ascii="Times New Roman" w:hAnsi="Times New Roman" w:cs="Times New Roman"/>
        </w:rPr>
        <w:t>private</w:t>
      </w:r>
      <w:r w:rsidRPr="00970C35">
        <w:rPr>
          <w:rFonts w:ascii="Times New Roman" w:hAnsi="Times New Roman" w:cs="Times New Roman"/>
        </w:rPr>
        <w:t xml:space="preserve"> sector. Although authors of these </w:t>
      </w:r>
      <w:r w:rsidR="00115919" w:rsidRPr="00970C35">
        <w:rPr>
          <w:rFonts w:ascii="Times New Roman" w:hAnsi="Times New Roman" w:cs="Times New Roman"/>
        </w:rPr>
        <w:t>studies</w:t>
      </w:r>
      <w:r w:rsidRPr="00970C35">
        <w:rPr>
          <w:rFonts w:ascii="Times New Roman" w:hAnsi="Times New Roman" w:cs="Times New Roman"/>
        </w:rPr>
        <w:t xml:space="preserve"> all acknowledge that </w:t>
      </w:r>
      <w:r w:rsidR="00115919" w:rsidRPr="00970C35">
        <w:rPr>
          <w:rFonts w:ascii="Times New Roman" w:hAnsi="Times New Roman" w:cs="Times New Roman"/>
        </w:rPr>
        <w:t xml:space="preserve">there are two necessary conditions to have the “use it or lose it” situation: </w:t>
      </w:r>
      <w:r w:rsidRPr="00970C35">
        <w:rPr>
          <w:rFonts w:ascii="Times New Roman" w:hAnsi="Times New Roman" w:cs="Times New Roman"/>
        </w:rPr>
        <w:t xml:space="preserve">(1) the inability to carry over unspent budget to </w:t>
      </w:r>
      <w:r w:rsidR="00115919" w:rsidRPr="00970C35">
        <w:rPr>
          <w:rFonts w:ascii="Times New Roman" w:hAnsi="Times New Roman" w:cs="Times New Roman"/>
        </w:rPr>
        <w:t xml:space="preserve">the </w:t>
      </w:r>
      <w:r w:rsidRPr="00970C35">
        <w:rPr>
          <w:rFonts w:ascii="Times New Roman" w:hAnsi="Times New Roman" w:cs="Times New Roman"/>
        </w:rPr>
        <w:t>next fiscal year</w:t>
      </w:r>
      <w:r w:rsidR="00115919" w:rsidRPr="00970C35">
        <w:rPr>
          <w:rFonts w:ascii="Times New Roman" w:hAnsi="Times New Roman" w:cs="Times New Roman"/>
        </w:rPr>
        <w:t>,</w:t>
      </w:r>
      <w:r w:rsidRPr="00970C35">
        <w:rPr>
          <w:rFonts w:ascii="Times New Roman" w:hAnsi="Times New Roman" w:cs="Times New Roman"/>
        </w:rPr>
        <w:t xml:space="preserve"> and (2) divisional managers’ incentive to </w:t>
      </w:r>
      <w:r w:rsidRPr="00970C35">
        <w:rPr>
          <w:rFonts w:ascii="Times New Roman" w:hAnsi="Times New Roman" w:cs="Times New Roman"/>
        </w:rPr>
        <w:lastRenderedPageBreak/>
        <w:t>use up the budget in order to be alloc</w:t>
      </w:r>
      <w:r w:rsidR="00115919" w:rsidRPr="00970C35">
        <w:rPr>
          <w:rFonts w:ascii="Times New Roman" w:hAnsi="Times New Roman" w:cs="Times New Roman"/>
        </w:rPr>
        <w:t>ated more budget in the future</w:t>
      </w:r>
      <w:r w:rsidR="00B25F30">
        <w:rPr>
          <w:rFonts w:ascii="Times New Roman" w:hAnsi="Times New Roman" w:cs="Times New Roman"/>
        </w:rPr>
        <w:t>, t</w:t>
      </w:r>
      <w:r w:rsidR="00115919" w:rsidRPr="00970C35">
        <w:rPr>
          <w:rFonts w:ascii="Times New Roman" w:hAnsi="Times New Roman" w:cs="Times New Roman"/>
        </w:rPr>
        <w:t>he authors</w:t>
      </w:r>
      <w:r w:rsidRPr="00970C35">
        <w:rPr>
          <w:rFonts w:ascii="Times New Roman" w:hAnsi="Times New Roman" w:cs="Times New Roman"/>
        </w:rPr>
        <w:t xml:space="preserve"> identify this problem in different yet non-mutually exclusive ways. </w:t>
      </w:r>
    </w:p>
    <w:p w:rsidR="00C56961" w:rsidRPr="00970C35" w:rsidRDefault="00C56961" w:rsidP="00C56961">
      <w:pPr>
        <w:spacing w:after="0" w:line="480" w:lineRule="auto"/>
        <w:ind w:firstLine="288"/>
        <w:jc w:val="both"/>
        <w:rPr>
          <w:rFonts w:ascii="Times New Roman" w:hAnsi="Times New Roman" w:cs="Times New Roman"/>
        </w:rPr>
      </w:pP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"10.1145/2462456.2464460", "ISBN" : "9781450316729", "abstract" : "Many organizations fund their spending out of a fixed budget that expires at year\u2019s end. Faced with uncertainty over future spending demands, these organizations have an incentive to build a buffer stock of funds over the front end of the budget cycle. When demand does not materialize, they then rush to spend these funds on lower quality projects at the end of the year. We test these predictions using data on procurement spending by the U.S. federal government. Using data on all federal contracts from 2004 through 2009, we document that spending spikes in all major federal agencies during the 52nd week of the year as the agencies rush to exhaust expiring budget authority. Spending in the last week of the year is 4.9 times higher than the rest-of-the-year weekly average. We examine the relative quality of year-end spending using a newly available dataset that tracks the quality of $130 billion in information technology (I.T.) projects made by federal agencies. Consistent with the model, average project quality falls at the end of the year. Quality scores in the last week of the year are 2.2 to 5.6 times more likely to be below the central value. To explore the impact of allowing agencies to roll unused spending over into subsequent fiscal years, we study the I.T. contracts of an agency with special authority to roll over unused funding. We show that there is only a small end-of-year I.T. spending spike in this agency and that the one major I.T. contract this agency issued in the 52nd week of the year has a quality rating that is well above average.", "author" : [ { "dropping-particle" : "", "family" : "Liebman", "given" : "Jeffrey B.", "non-dropping-particle" : "", "parse-names" : false, "suffix" : "" }, { "dropping-particle" : "", "family" : "Mahoney", "given" : "Neale", "non-dropping-particle" : "", "parse-names" : false, "suffix" : "" } ], "container-title" : "NBER Working Paper 19481", "id" : "ITEM-1", "issued" : { "date-parts" : [ [ "2013" ] ] }, "title" : "Do Expiring Budgets Lead to Wasteful Year-end Spending? Evidence from Federal Procurement", "type" : "article-journal" }, "uris" : [ "http://www.mendeley.com/documents/?uuid=41b060e0-767a-4e6b-a466-adb96bd583b0" ] } ], "mendeley" : { "formattedCitation" : "Liebman and Mahoney (2013)", "plainTextFormattedCitation" : "Liebman and Mahoney (2013)", "previouslyFormattedCitation" : "Liebman and Mahoney (2013)"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Liebman and Mahoney (2013)</w:t>
      </w:r>
      <w:r w:rsidRPr="00970C35">
        <w:rPr>
          <w:rFonts w:ascii="Times New Roman" w:hAnsi="Times New Roman" w:cs="Times New Roman"/>
        </w:rPr>
        <w:fldChar w:fldCharType="end"/>
      </w:r>
      <w:r w:rsidRPr="00970C35">
        <w:rPr>
          <w:rFonts w:ascii="Times New Roman" w:hAnsi="Times New Roman" w:cs="Times New Roman"/>
        </w:rPr>
        <w:t xml:space="preserve">’s model shows that in addition to </w:t>
      </w:r>
      <w:r w:rsidR="00115919" w:rsidRPr="00970C35">
        <w:rPr>
          <w:rFonts w:ascii="Times New Roman" w:hAnsi="Times New Roman" w:cs="Times New Roman"/>
        </w:rPr>
        <w:t xml:space="preserve">an </w:t>
      </w:r>
      <w:r w:rsidRPr="00970C35">
        <w:rPr>
          <w:rFonts w:ascii="Times New Roman" w:hAnsi="Times New Roman" w:cs="Times New Roman"/>
        </w:rPr>
        <w:t>inability to carry over unspent budget to the next year, a combination of uncertainty and decreasing returns on projects leads to less spending in early period</w:t>
      </w:r>
      <w:r w:rsidR="00115919" w:rsidRPr="00970C35">
        <w:rPr>
          <w:rFonts w:ascii="Times New Roman" w:hAnsi="Times New Roman" w:cs="Times New Roman"/>
        </w:rPr>
        <w:t>s</w:t>
      </w:r>
      <w:r w:rsidRPr="00970C35">
        <w:rPr>
          <w:rFonts w:ascii="Times New Roman" w:hAnsi="Times New Roman" w:cs="Times New Roman"/>
        </w:rPr>
        <w:t xml:space="preserve"> of the year. According to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"author" : [ { "dropping-particle" : "", "family" : "Callen", "given" : "Jeffrey L.", "non-dropping-particle" : "", "parse-names" : false, "suffix" : "" }, { "dropping-particle" : "", "family" : "Livnat", "given" : "Joshua", "non-dropping-particle" : "", "parse-names" : false, "suffix" : "" }, { "dropping-particle" : "", "family" : "Ryan", "given" : "Stephen G.", "non-dropping-particle" : "", "parse-names" : false, "suffix" : "" } ], "container-title" : "The Journal of Financial Statement Analysis", "id" : "ITEM-1", "issued" : { "date-parts" : [ [ "1996" ] ] }, "page" : "13-24", "title" : "Capital Expenditures: Value-relevance and fourth-quarter effects", "type" : "article-journal" }, "uris" : [ "http://www.mendeley.com/documents/?uuid=41165a56-17be-4e11-bc35-396fa6b1ae7a" ] } ], "mendeley" : { "formattedCitation" : "Callen, Livnat, and Ryan (1996)", "manualFormatting" : "Callen, et al. (1996)", "plainTextFormattedCitation" : "Callen, Livnat, and Ryan (1996)", "previouslyFormattedCitation" : "Callen, Livnat, and Ryan (1996)" }, "properties" : { "noteIndex" : 0 }, "schema" : "https://github.com/citation-style-language/schema/raw/master/csl-citation.json" }</w:instrText>
      </w:r>
      <w:r w:rsidRPr="00970C35">
        <w:rPr>
          <w:rFonts w:ascii="Times New Roman" w:hAnsi="Times New Roman" w:cs="Times New Roman"/>
        </w:rPr>
        <w:fldChar w:fldCharType="separate"/>
      </w:r>
      <w:r w:rsidR="00CE7407" w:rsidRPr="00970C35">
        <w:rPr>
          <w:rFonts w:ascii="Times New Roman" w:hAnsi="Times New Roman" w:cs="Times New Roman"/>
          <w:noProof/>
        </w:rPr>
        <w:t xml:space="preserve">Callen, </w:t>
      </w:r>
      <w:r w:rsidR="008E40E0" w:rsidRPr="00970C35">
        <w:rPr>
          <w:rFonts w:ascii="Times New Roman" w:hAnsi="Times New Roman" w:cs="Times New Roman"/>
          <w:noProof/>
        </w:rPr>
        <w:t>et al.</w:t>
      </w:r>
      <w:r w:rsidR="00CE7407" w:rsidRPr="00970C35">
        <w:rPr>
          <w:rFonts w:ascii="Times New Roman" w:hAnsi="Times New Roman" w:cs="Times New Roman"/>
          <w:noProof/>
        </w:rPr>
        <w:t xml:space="preserve"> (1996)</w:t>
      </w:r>
      <w:r w:rsidRPr="00970C35">
        <w:rPr>
          <w:rFonts w:ascii="Times New Roman" w:hAnsi="Times New Roman" w:cs="Times New Roman"/>
        </w:rPr>
        <w:fldChar w:fldCharType="end"/>
      </w:r>
      <w:r w:rsidRPr="00970C35">
        <w:rPr>
          <w:rFonts w:ascii="Times New Roman" w:hAnsi="Times New Roman" w:cs="Times New Roman"/>
        </w:rPr>
        <w:t>, this effect is more pronounced in firms that have higher growth in their spending, because as their budget grows, they tend to be inexperienced in allocating their new budget</w:t>
      </w:r>
      <w:r w:rsidR="00115919" w:rsidRPr="00970C35">
        <w:rPr>
          <w:rFonts w:ascii="Times New Roman" w:hAnsi="Times New Roman" w:cs="Times New Roman"/>
        </w:rPr>
        <w:t>;</w:t>
      </w:r>
      <w:r w:rsidRPr="00970C35">
        <w:rPr>
          <w:rFonts w:ascii="Times New Roman" w:hAnsi="Times New Roman" w:cs="Times New Roman"/>
        </w:rPr>
        <w:t xml:space="preserve"> thus</w:t>
      </w:r>
      <w:r w:rsidR="00115919" w:rsidRPr="00970C35">
        <w:rPr>
          <w:rFonts w:ascii="Times New Roman" w:hAnsi="Times New Roman" w:cs="Times New Roman"/>
        </w:rPr>
        <w:t>, they</w:t>
      </w:r>
      <w:r w:rsidRPr="00970C35">
        <w:rPr>
          <w:rFonts w:ascii="Times New Roman" w:hAnsi="Times New Roman" w:cs="Times New Roman"/>
        </w:rPr>
        <w:t xml:space="preserve"> are more likely to “be forced to” spend more before </w:t>
      </w:r>
      <w:r w:rsidR="00115919" w:rsidRPr="00970C35">
        <w:rPr>
          <w:rFonts w:ascii="Times New Roman" w:hAnsi="Times New Roman" w:cs="Times New Roman"/>
        </w:rPr>
        <w:t xml:space="preserve">their allocated </w:t>
      </w:r>
      <w:r w:rsidRPr="00970C35">
        <w:rPr>
          <w:rFonts w:ascii="Times New Roman" w:hAnsi="Times New Roman" w:cs="Times New Roman"/>
        </w:rPr>
        <w:t xml:space="preserve">budget expires.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"10.1016/S0929-1199(01)00033-5", "ISBN" : "0929-1199", "ISSN" : "09291199", "abstract" : "Using the quarterly Compustat files, we present empirical findings that business capital investment is significantly higher in the fourth quarter than in other quarters. Even after controlling for business capital investment determinants, we find that the fourth quarter capital investment is significantly larger but less sensitive to investment opportunities than other quarters' capital investment. This phenomenon is more evident for firms with larger cash holdings than for firms with smaller cash holdings, for larger firms than for smaller firms, and for diversified firms than for stand-alone firms. Our findings suggest a high level of agency costs in corporate investment decisions. ?? 2002 Elsevier Science B.V. All rights reserved.", "author" : [ { "dropping-particle" : "", "family" : "Shin", "given" : "Hyun-Han", "non-dropping-particle" : "", "parse-names" : false, "suffix" : "" }, { "dropping-particle" : "", "family" : "Kim", "given" : "Yong H.", "non-dropping-particle" : "", "parse-names" : false, "suffix" : "" } ], "container-title" : "Journal of Corporate Finance", "id" : "ITEM-1", "issued" : { "date-parts" : [ [ "2002" ] ] }, "page" : "139-158", "title" : "Agency costs and efficiency of business capital investment: Evidence from quarterly capital expenditures", "type" : "article-journal", "volume" : "8" }, "uris" : [ "http://www.mendeley.com/documents/?uuid=1ecc75bf-057a-4382-be94-515f54fd7cd6" ] } ], "mendeley" : { "formattedCitation" : "Shin and Kim (2002)", "plainTextFormattedCitation" : "Shin and Kim (2002)", "previouslyFormattedCitation" : "Shin and Kim (2002)"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Shin and Kim (2002)</w:t>
      </w:r>
      <w:r w:rsidRPr="00970C35">
        <w:rPr>
          <w:rFonts w:ascii="Times New Roman" w:hAnsi="Times New Roman" w:cs="Times New Roman"/>
        </w:rPr>
        <w:fldChar w:fldCharType="end"/>
      </w:r>
      <w:r w:rsidRPr="00970C35">
        <w:rPr>
          <w:rFonts w:ascii="Times New Roman" w:hAnsi="Times New Roman" w:cs="Times New Roman"/>
        </w:rPr>
        <w:t xml:space="preserve">, however, analyze the severity of the issue from the perspective of corporate governance. They argue that firms with </w:t>
      </w:r>
      <w:r w:rsidR="00115919" w:rsidRPr="00970C35">
        <w:rPr>
          <w:rFonts w:ascii="Times New Roman" w:hAnsi="Times New Roman" w:cs="Times New Roman"/>
        </w:rPr>
        <w:t>lar</w:t>
      </w:r>
      <w:r w:rsidRPr="00970C35">
        <w:rPr>
          <w:rFonts w:ascii="Times New Roman" w:hAnsi="Times New Roman" w:cs="Times New Roman"/>
        </w:rPr>
        <w:t xml:space="preserve">ger internal agency conflicts and information asymmetry tend to have higher spending in the fourth fiscal quarter that cannot be explained by investment opportunities. To our best knowledge, our paper is the first </w:t>
      </w:r>
      <w:r w:rsidR="00DD4993" w:rsidRPr="00970C35">
        <w:rPr>
          <w:rFonts w:ascii="Times New Roman" w:hAnsi="Times New Roman" w:cs="Times New Roman"/>
        </w:rPr>
        <w:t xml:space="preserve">to document </w:t>
      </w:r>
      <w:r w:rsidRPr="00970C35">
        <w:rPr>
          <w:rFonts w:ascii="Times New Roman" w:hAnsi="Times New Roman" w:cs="Times New Roman"/>
        </w:rPr>
        <w:t xml:space="preserve">cross-country evidence on the “fourth quarter effect”. By focusing on the “fourth quarter effect”, we extend this literature and show that external business environment can enhance firms’ investment efficiency. </w:t>
      </w:r>
    </w:p>
    <w:p w:rsidR="00C56961" w:rsidRPr="00970C35" w:rsidRDefault="00C56961" w:rsidP="00C56961">
      <w:pPr>
        <w:spacing w:after="120" w:line="480" w:lineRule="auto"/>
        <w:ind w:firstLine="288"/>
        <w:jc w:val="both"/>
        <w:rPr>
          <w:rFonts w:ascii="Times New Roman" w:hAnsi="Times New Roman" w:cs="Times New Roman"/>
        </w:rPr>
      </w:pPr>
      <w:r w:rsidRPr="00970C35">
        <w:rPr>
          <w:rFonts w:ascii="Times New Roman" w:hAnsi="Times New Roman" w:cs="Times New Roman"/>
        </w:rPr>
        <w:t>The remainder of the paper is organized as follows. The next section develops the main hypotheses in this study. Section 3 describes the data</w:t>
      </w:r>
      <w:r w:rsidR="00115919" w:rsidRPr="00970C35">
        <w:rPr>
          <w:rFonts w:ascii="Times New Roman" w:hAnsi="Times New Roman" w:cs="Times New Roman"/>
        </w:rPr>
        <w:t>,</w:t>
      </w:r>
      <w:r w:rsidRPr="00970C35">
        <w:rPr>
          <w:rFonts w:ascii="Times New Roman" w:hAnsi="Times New Roman" w:cs="Times New Roman"/>
        </w:rPr>
        <w:t xml:space="preserve"> and the construction of our sample. In section 4, we provide evidence on the “fourth quarter effect” in a sample of 41 countries, and test our hypotheses in detail by analyzing the relation between </w:t>
      </w:r>
      <w:r w:rsidR="003A7D27" w:rsidRPr="00970C35">
        <w:rPr>
          <w:rFonts w:ascii="Times New Roman" w:hAnsi="Times New Roman" w:cs="Times New Roman"/>
        </w:rPr>
        <w:t>the “</w:t>
      </w:r>
      <w:r w:rsidRPr="00970C35">
        <w:rPr>
          <w:rFonts w:ascii="Times New Roman" w:hAnsi="Times New Roman" w:cs="Times New Roman"/>
        </w:rPr>
        <w:t>fourth quarter effect</w:t>
      </w:r>
      <w:r w:rsidR="003A7D27" w:rsidRPr="00970C35">
        <w:rPr>
          <w:rFonts w:ascii="Times New Roman" w:hAnsi="Times New Roman" w:cs="Times New Roman"/>
        </w:rPr>
        <w:t>”</w:t>
      </w:r>
      <w:r w:rsidRPr="00970C35">
        <w:rPr>
          <w:rFonts w:ascii="Times New Roman" w:hAnsi="Times New Roman" w:cs="Times New Roman"/>
        </w:rPr>
        <w:t xml:space="preserve"> and country characteristics. Section 5 discusses robustness checks and alternative explanations. Section 6 concludes </w:t>
      </w:r>
      <w:r w:rsidR="00115919" w:rsidRPr="00970C35">
        <w:rPr>
          <w:rFonts w:ascii="Times New Roman" w:hAnsi="Times New Roman" w:cs="Times New Roman"/>
        </w:rPr>
        <w:t>this study</w:t>
      </w:r>
      <w:r w:rsidRPr="00970C35">
        <w:rPr>
          <w:rFonts w:ascii="Times New Roman" w:hAnsi="Times New Roman" w:cs="Times New Roman"/>
        </w:rPr>
        <w:t>.</w:t>
      </w:r>
    </w:p>
    <w:p w:rsidR="00C56961" w:rsidRPr="00970C35" w:rsidRDefault="00C56961" w:rsidP="00C56961">
      <w:pPr>
        <w:spacing w:after="0" w:line="480" w:lineRule="auto"/>
        <w:jc w:val="both"/>
        <w:rPr>
          <w:rFonts w:ascii="Times New Roman" w:hAnsi="Times New Roman" w:cs="Times New Roman"/>
          <w:b/>
        </w:rPr>
      </w:pPr>
      <w:r w:rsidRPr="00970C35">
        <w:rPr>
          <w:rFonts w:ascii="Times New Roman" w:hAnsi="Times New Roman" w:cs="Times New Roman"/>
          <w:b/>
        </w:rPr>
        <w:t>2. Hypotheses Development</w:t>
      </w:r>
    </w:p>
    <w:p w:rsidR="00C56961" w:rsidRPr="00970C35" w:rsidRDefault="00C56961" w:rsidP="00C56961">
      <w:pPr>
        <w:spacing w:after="120" w:line="480" w:lineRule="auto"/>
        <w:jc w:val="both"/>
        <w:rPr>
          <w:rFonts w:ascii="Times New Roman" w:hAnsi="Times New Roman" w:cs="Times New Roman"/>
        </w:rPr>
      </w:pPr>
      <w:r w:rsidRPr="00970C35">
        <w:rPr>
          <w:rFonts w:ascii="Times New Roman" w:hAnsi="Times New Roman" w:cs="Times New Roman"/>
        </w:rPr>
        <w:t xml:space="preserve">In this section, we describe our two main hypotheses on how the “use it or lose it” phenomenon can be different across countries. This is one of the main extensions in our </w:t>
      </w:r>
      <w:r w:rsidR="00115919" w:rsidRPr="00970C35">
        <w:rPr>
          <w:rFonts w:ascii="Times New Roman" w:hAnsi="Times New Roman" w:cs="Times New Roman"/>
        </w:rPr>
        <w:t>study</w:t>
      </w:r>
      <w:r w:rsidRPr="00970C35">
        <w:rPr>
          <w:rFonts w:ascii="Times New Roman" w:hAnsi="Times New Roman" w:cs="Times New Roman"/>
        </w:rPr>
        <w:t xml:space="preserve"> using country characteristics since earlier </w:t>
      </w:r>
      <w:r w:rsidR="00115919" w:rsidRPr="00970C35">
        <w:rPr>
          <w:rFonts w:ascii="Times New Roman" w:hAnsi="Times New Roman" w:cs="Times New Roman"/>
        </w:rPr>
        <w:t>researches</w:t>
      </w:r>
      <w:r w:rsidRPr="00970C35">
        <w:rPr>
          <w:rFonts w:ascii="Times New Roman" w:hAnsi="Times New Roman" w:cs="Times New Roman"/>
        </w:rPr>
        <w:t xml:space="preserve"> on the “fourth quarter effect” focus on firm characteristics. </w:t>
      </w:r>
      <w:r w:rsidR="00175D09" w:rsidRPr="00F66B3C">
        <w:rPr>
          <w:rFonts w:ascii="Times New Roman" w:hAnsi="Times New Roman" w:cs="Times New Roman"/>
          <w:color w:val="000000" w:themeColor="text1"/>
        </w:rPr>
        <w:t>First, s</w:t>
      </w:r>
      <w:r w:rsidR="007F2F52" w:rsidRPr="00F66B3C">
        <w:rPr>
          <w:rFonts w:ascii="Times New Roman" w:hAnsi="Times New Roman" w:cs="Times New Roman"/>
          <w:color w:val="000000" w:themeColor="text1"/>
        </w:rPr>
        <w:t xml:space="preserve">hareholder rights and protection variables are common ones used in the corporate governance literature as proxies for corporate agency costs. In addition, </w:t>
      </w:r>
      <w:r w:rsidR="00455BF8" w:rsidRPr="00F66B3C">
        <w:rPr>
          <w:rFonts w:ascii="Times New Roman" w:hAnsi="Times New Roman" w:cs="Times New Roman"/>
          <w:color w:val="000000" w:themeColor="text1"/>
        </w:rPr>
        <w:t>it is documented that more developed financial markets are associated with more</w:t>
      </w:r>
      <w:r w:rsidR="00175D09" w:rsidRPr="00F66B3C">
        <w:rPr>
          <w:rFonts w:ascii="Times New Roman" w:hAnsi="Times New Roman" w:cs="Times New Roman"/>
          <w:color w:val="000000" w:themeColor="text1"/>
        </w:rPr>
        <w:t xml:space="preserve"> efficient allocations of external finance</w:t>
      </w:r>
      <w:r w:rsidR="00455BF8" w:rsidRPr="00F66B3C">
        <w:rPr>
          <w:rFonts w:ascii="Times New Roman" w:hAnsi="Times New Roman" w:cs="Times New Roman"/>
          <w:color w:val="000000" w:themeColor="text1"/>
        </w:rPr>
        <w:t>, which</w:t>
      </w:r>
      <w:r w:rsidR="00175D09" w:rsidRPr="00F66B3C">
        <w:rPr>
          <w:rFonts w:ascii="Times New Roman" w:hAnsi="Times New Roman" w:cs="Times New Roman"/>
          <w:color w:val="000000" w:themeColor="text1"/>
        </w:rPr>
        <w:t xml:space="preserve"> should </w:t>
      </w:r>
      <w:r w:rsidR="00455BF8" w:rsidRPr="00F66B3C">
        <w:rPr>
          <w:rFonts w:ascii="Times New Roman" w:hAnsi="Times New Roman" w:cs="Times New Roman"/>
          <w:color w:val="000000" w:themeColor="text1"/>
        </w:rPr>
        <w:t>further</w:t>
      </w:r>
      <w:r w:rsidR="00175D09" w:rsidRPr="00F66B3C">
        <w:rPr>
          <w:rFonts w:ascii="Times New Roman" w:hAnsi="Times New Roman" w:cs="Times New Roman"/>
          <w:color w:val="000000" w:themeColor="text1"/>
        </w:rPr>
        <w:t xml:space="preserve"> lead to more efficient budget allocations </w:t>
      </w:r>
      <w:r w:rsidR="00175D09" w:rsidRPr="00F66B3C">
        <w:rPr>
          <w:rFonts w:ascii="Times New Roman" w:hAnsi="Times New Roman" w:cs="Times New Roman"/>
          <w:color w:val="000000" w:themeColor="text1"/>
        </w:rPr>
        <w:lastRenderedPageBreak/>
        <w:t>within the firm</w:t>
      </w:r>
      <w:r w:rsidR="00E463C7" w:rsidRPr="00F66B3C">
        <w:rPr>
          <w:rFonts w:ascii="Times New Roman" w:hAnsi="Times New Roman" w:cs="Times New Roman"/>
          <w:color w:val="000000" w:themeColor="text1"/>
        </w:rPr>
        <w:t>. We discuss it in more detail in section 2.2.</w:t>
      </w:r>
      <w:r w:rsidR="007F2F52" w:rsidRPr="00A63B2D">
        <w:rPr>
          <w:rFonts w:ascii="Times New Roman" w:hAnsi="Times New Roman" w:cs="Times New Roman"/>
          <w:color w:val="FF0000"/>
        </w:rPr>
        <w:t xml:space="preserve"> </w:t>
      </w:r>
      <w:r w:rsidRPr="00970C35">
        <w:rPr>
          <w:rFonts w:ascii="Times New Roman" w:hAnsi="Times New Roman" w:cs="Times New Roman"/>
        </w:rPr>
        <w:t>We next outline testable hypotheses, which we formally test in section 4.</w:t>
      </w:r>
    </w:p>
    <w:p w:rsidR="00821BD4" w:rsidRPr="00970C35" w:rsidRDefault="00BF7092" w:rsidP="00821BD4">
      <w:pPr>
        <w:spacing w:after="0" w:line="480" w:lineRule="auto"/>
        <w:jc w:val="both"/>
        <w:rPr>
          <w:rFonts w:ascii="Times New Roman" w:hAnsi="Times New Roman" w:cs="Times New Roman"/>
        </w:rPr>
      </w:pPr>
      <w:r w:rsidRPr="00970C35">
        <w:rPr>
          <w:rFonts w:ascii="Times New Roman" w:hAnsi="Times New Roman" w:cs="Times New Roman"/>
        </w:rPr>
        <w:t>2</w:t>
      </w:r>
      <w:r w:rsidR="00821BD4" w:rsidRPr="00970C35">
        <w:rPr>
          <w:rFonts w:ascii="Times New Roman" w:hAnsi="Times New Roman" w:cs="Times New Roman"/>
        </w:rPr>
        <w:t xml:space="preserve">.1. </w:t>
      </w:r>
      <w:r w:rsidR="005C6339" w:rsidRPr="00970C35">
        <w:rPr>
          <w:rFonts w:ascii="Times New Roman" w:hAnsi="Times New Roman" w:cs="Times New Roman"/>
        </w:rPr>
        <w:t xml:space="preserve">Shareholder </w:t>
      </w:r>
      <w:r w:rsidR="002D0C41" w:rsidRPr="00970C35">
        <w:rPr>
          <w:rFonts w:ascii="Times New Roman" w:hAnsi="Times New Roman" w:cs="Times New Roman"/>
        </w:rPr>
        <w:t>R</w:t>
      </w:r>
      <w:r w:rsidR="005C6339" w:rsidRPr="00970C35">
        <w:rPr>
          <w:rFonts w:ascii="Times New Roman" w:hAnsi="Times New Roman" w:cs="Times New Roman"/>
        </w:rPr>
        <w:t xml:space="preserve">ights and </w:t>
      </w:r>
      <w:r w:rsidR="002D0C41" w:rsidRPr="00970C35">
        <w:rPr>
          <w:rFonts w:ascii="Times New Roman" w:hAnsi="Times New Roman" w:cs="Times New Roman"/>
        </w:rPr>
        <w:t>P</w:t>
      </w:r>
      <w:r w:rsidR="005C6339" w:rsidRPr="00970C35">
        <w:rPr>
          <w:rFonts w:ascii="Times New Roman" w:hAnsi="Times New Roman" w:cs="Times New Roman"/>
        </w:rPr>
        <w:t>rotection</w:t>
      </w:r>
    </w:p>
    <w:p w:rsidR="009B6F17" w:rsidRPr="00970C35" w:rsidRDefault="00821BD4" w:rsidP="00821BD4">
      <w:pPr>
        <w:spacing w:after="0" w:line="480" w:lineRule="auto"/>
        <w:jc w:val="both"/>
        <w:rPr>
          <w:rFonts w:ascii="Times New Roman" w:hAnsi="Times New Roman" w:cs="Times New Roman"/>
        </w:rPr>
      </w:pPr>
      <w:r w:rsidRPr="00970C35">
        <w:rPr>
          <w:rFonts w:ascii="Times New Roman" w:hAnsi="Times New Roman" w:cs="Times New Roman"/>
        </w:rPr>
        <w:t xml:space="preserve">Since the seminal paper by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"http://dx.doi.org/10.1016/0304-405X(76)90026-X", "ISBN" : "0304-405X", "ISSN" : "0304405X", "PMID" : "12243301", "author" : [ { "dropping-particle" : "", "family" : "Jensen", "given" : "Michael C.", "non-dropping-particle" : "", "parse-names" : false, "suffix" : "" }, { "dropping-particle" : "", "family" : "Meckling", "given" : "W H", "non-dropping-particle" : "", "parse-names" : false, "suffix" : "" } ], "container-title" : "Journal of Financial Economics", "id" : "ITEM-1", "issued" : { "date-parts" : [ [ "1976" ] ] }, "page" : "305-360", "title" : "Theory of the Firm: Managerial", "type" : "article-journal", "volume" : "3" }, "uris" : [ "http://www.mendeley.com/documents/?uuid=f65a51bb-80ab-4c82-ac2c-2bd39a99b6c4" ] } ], "mendeley" : { "formattedCitation" : "Jensen and Meckling (1976)", "plainTextFormattedCitation" : "Jensen and Meckling (1976)", "previouslyFormattedCitation" : "Jensen and Meckling (1976)"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Jensen and Meckling (1976)</w:t>
      </w:r>
      <w:r w:rsidRPr="00970C35">
        <w:rPr>
          <w:rFonts w:ascii="Times New Roman" w:hAnsi="Times New Roman" w:cs="Times New Roman"/>
        </w:rPr>
        <w:fldChar w:fldCharType="end"/>
      </w:r>
      <w:r w:rsidRPr="00970C35">
        <w:rPr>
          <w:rFonts w:ascii="Times New Roman" w:hAnsi="Times New Roman" w:cs="Times New Roman"/>
        </w:rPr>
        <w:t>, agency problems between different stakeholders have been extensively studied in numerous topics in firms’ investment and financing.</w:t>
      </w:r>
      <w:r w:rsidR="005C6339" w:rsidRPr="00970C35">
        <w:rPr>
          <w:rFonts w:ascii="Times New Roman" w:hAnsi="Times New Roman" w:cs="Times New Roman"/>
        </w:rPr>
        <w:t xml:space="preserve"> </w:t>
      </w:r>
      <w:r w:rsidR="009A6EBC" w:rsidRPr="00970C35">
        <w:rPr>
          <w:rFonts w:ascii="Times New Roman" w:hAnsi="Times New Roman" w:cs="Times New Roman"/>
        </w:rPr>
        <w:t>Because</w:t>
      </w:r>
      <w:r w:rsidR="005C6339" w:rsidRPr="00970C35">
        <w:rPr>
          <w:rFonts w:ascii="Times New Roman" w:hAnsi="Times New Roman" w:cs="Times New Roman"/>
        </w:rPr>
        <w:t xml:space="preserve"> the interest of firms’ managers is not perfectly aligned with shareholders, they may have the incentive to engage in activities that are detrimental to shareholder value, such as seeking private perks</w:t>
      </w:r>
      <w:r w:rsidR="004D7213" w:rsidRPr="00970C35">
        <w:rPr>
          <w:rFonts w:ascii="Times New Roman" w:hAnsi="Times New Roman" w:cs="Times New Roman"/>
        </w:rPr>
        <w:t xml:space="preserve"> (e.g. </w:t>
      </w:r>
      <w:r w:rsidR="004D7213"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"author" : [ { "dropping-particle" : "", "family" : "Bertrand", "given" : "Marianne", "non-dropping-particle" : "", "parse-names" : false, "suffix" : "" }, { "dropping-particle" : "", "family" : "Mullainathan", "given" : "Sendhil", "non-dropping-particle" : "", "parse-names" : false, "suffix" : "" } ], "container-title" : "Journal of Political Economy", "id" : "ITEM-1", "issue" : "5", "issued" : { "date-parts" : [ [ "2003" ] ] }, "page" : "1043-1075", "title" : "Enjoying the Quiet Life ? Corporate Governance and Managerial Preferences", "type" : "article-journal", "volume" : "111" }, "uris" : [ "http://www.mendeley.com/documents/?uuid=c8e3c4b4-0381-4aae-bc75-bb3f43247a1e" ] } ], "mendeley" : { "formattedCitation" : "Bertrand and Mullainathan (2003)", "manualFormatting" : "Bertrand and Mullainathan, 2003", "plainTextFormattedCitation" : "Bertrand and Mullainathan (2003)", "previouslyFormattedCitation" : "Bertrand and Mullainathan (2003)" }, "properties" : { "noteIndex" : 0 }, "schema" : "https://github.com/citation-style-language/schema/raw/master/csl-citation.json" }</w:instrText>
      </w:r>
      <w:r w:rsidR="004D7213" w:rsidRPr="00970C35">
        <w:rPr>
          <w:rFonts w:ascii="Times New Roman" w:hAnsi="Times New Roman" w:cs="Times New Roman"/>
        </w:rPr>
        <w:fldChar w:fldCharType="separate"/>
      </w:r>
      <w:r w:rsidR="004D7213" w:rsidRPr="00970C35">
        <w:rPr>
          <w:rFonts w:ascii="Times New Roman" w:hAnsi="Times New Roman" w:cs="Times New Roman"/>
          <w:noProof/>
        </w:rPr>
        <w:t>Bertrand and Mullainathan, 2003</w:t>
      </w:r>
      <w:r w:rsidR="004D7213" w:rsidRPr="00970C35">
        <w:rPr>
          <w:rFonts w:ascii="Times New Roman" w:hAnsi="Times New Roman" w:cs="Times New Roman"/>
        </w:rPr>
        <w:fldChar w:fldCharType="end"/>
      </w:r>
      <w:r w:rsidR="004D7213" w:rsidRPr="00970C35">
        <w:rPr>
          <w:rFonts w:ascii="Times New Roman" w:hAnsi="Times New Roman" w:cs="Times New Roman"/>
        </w:rPr>
        <w:t>)</w:t>
      </w:r>
      <w:r w:rsidR="00C462AD" w:rsidRPr="00970C35">
        <w:rPr>
          <w:rFonts w:ascii="Times New Roman" w:hAnsi="Times New Roman" w:cs="Times New Roman"/>
        </w:rPr>
        <w:t>,</w:t>
      </w:r>
      <w:r w:rsidR="005C6339" w:rsidRPr="00970C35">
        <w:rPr>
          <w:rFonts w:ascii="Times New Roman" w:hAnsi="Times New Roman" w:cs="Times New Roman"/>
        </w:rPr>
        <w:t xml:space="preserve"> or building their own empires</w:t>
      </w:r>
      <w:r w:rsidR="004D7213" w:rsidRPr="00970C35">
        <w:rPr>
          <w:rFonts w:ascii="Times New Roman" w:hAnsi="Times New Roman" w:cs="Times New Roman"/>
        </w:rPr>
        <w:t xml:space="preserve"> (e.g. </w:t>
      </w:r>
      <w:r w:rsidR="004D7213"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"10.2139/ssrn.99580", "ISBN" : "00028282", "ISSN" : "15565068", "PMID" : "4496829", "abstract" : "Corporate managers are the agents of shareholders, a relationship fraught with conflicting interests. Agency theory, the analysis of such conflicts, is now a major part of the economics literature. The payout of cash to shareholders creates major conflicts that have received little attention. Payouts to shareholders reduce the resources under managers' control, thereby reducing managers' power, and making it more likely they will incur the monitoring of the capital markets which occurs when the firm must obtain new capital. Financing projects internally avoids this monitoring and the possibility the funds will be unavailable or available only at high explicit prices. Managers have incentives to cause theft firms to grow beyond the optimal size. Growth increases managers' power by increasing the resources under their control. It is also associated with increases in managers' compensation, because changes in compensation are positively related to the growth in sales. The tendency of firms to reward middle managers through promotion rather than year-to-year bonuses also creates a strong organizational bias toward growth to supply the new positions that such promotion-based reward systems require. Competition in the product and factor markets tends to drive prices towards minimum average cost in an activity.", "author" : [ { "dropping-particle" : "", "family" : "Jensen", "given" : "Michael C", "non-dropping-particle" : "", "parse-names" : false, "suffix" : "" } ], "container-title" : "The American Economic Review", "id" : "ITEM-1", "issue" : "2", "issued" : { "date-parts" : [ [ "1986" ] ] }, "page" : "323-329", "title" : "Agency costs of free cash flow, corporate finance, and takeovers", "type" : "article-journal", "volume" : "76" }, "uris" : [ "http://www.mendeley.com/documents/?uuid=5f71d280-24c5-4876-8626-c1c426b460f9" ] } ], "mendeley" : { "formattedCitation" : "Jensen (1986)", "manualFormatting" : "Jensen, 1986", "plainTextFormattedCitation" : "Jensen (1986)", "previouslyFormattedCitation" : "Jensen (1986)" }, "properties" : { "noteIndex" : 0 }, "schema" : "https://github.com/citation-style-language/schema/raw/master/csl-citation.json" }</w:instrText>
      </w:r>
      <w:r w:rsidR="004D7213" w:rsidRPr="00970C35">
        <w:rPr>
          <w:rFonts w:ascii="Times New Roman" w:hAnsi="Times New Roman" w:cs="Times New Roman"/>
        </w:rPr>
        <w:fldChar w:fldCharType="separate"/>
      </w:r>
      <w:r w:rsidR="004D7213" w:rsidRPr="00970C35">
        <w:rPr>
          <w:rFonts w:ascii="Times New Roman" w:hAnsi="Times New Roman" w:cs="Times New Roman"/>
          <w:noProof/>
        </w:rPr>
        <w:t>Jensen, 1986</w:t>
      </w:r>
      <w:r w:rsidR="004D7213" w:rsidRPr="00970C35">
        <w:rPr>
          <w:rFonts w:ascii="Times New Roman" w:hAnsi="Times New Roman" w:cs="Times New Roman"/>
        </w:rPr>
        <w:fldChar w:fldCharType="end"/>
      </w:r>
      <w:r w:rsidR="004D7213" w:rsidRPr="00970C35">
        <w:rPr>
          <w:rFonts w:ascii="Times New Roman" w:hAnsi="Times New Roman" w:cs="Times New Roman"/>
        </w:rPr>
        <w:t>)</w:t>
      </w:r>
      <w:r w:rsidR="005C6339" w:rsidRPr="00970C35">
        <w:rPr>
          <w:rFonts w:ascii="Times New Roman" w:hAnsi="Times New Roman" w:cs="Times New Roman"/>
        </w:rPr>
        <w:t>.</w:t>
      </w:r>
      <w:r w:rsidRPr="00970C35">
        <w:rPr>
          <w:rFonts w:ascii="Times New Roman" w:hAnsi="Times New Roman" w:cs="Times New Roman"/>
        </w:rPr>
        <w:t xml:space="preserve"> </w:t>
      </w:r>
      <w:r w:rsidR="00781FB6" w:rsidRPr="00970C35">
        <w:rPr>
          <w:rFonts w:ascii="Times New Roman" w:hAnsi="Times New Roman" w:cs="Times New Roman"/>
        </w:rPr>
        <w:t xml:space="preserve">The outside investors, on the other hand, </w:t>
      </w:r>
      <w:r w:rsidR="004D7213" w:rsidRPr="00970C35">
        <w:rPr>
          <w:rFonts w:ascii="Times New Roman" w:hAnsi="Times New Roman" w:cs="Times New Roman"/>
        </w:rPr>
        <w:t>rely on</w:t>
      </w:r>
      <w:r w:rsidR="00781FB6" w:rsidRPr="00970C35">
        <w:rPr>
          <w:rFonts w:ascii="Times New Roman" w:hAnsi="Times New Roman" w:cs="Times New Roman"/>
        </w:rPr>
        <w:t xml:space="preserve"> various mechanisms and institutions such as compensation schemes and potential takeover threats t</w:t>
      </w:r>
      <w:r w:rsidR="005C6339" w:rsidRPr="00970C35">
        <w:rPr>
          <w:rFonts w:ascii="Times New Roman" w:hAnsi="Times New Roman" w:cs="Times New Roman"/>
        </w:rPr>
        <w:t xml:space="preserve">o </w:t>
      </w:r>
      <w:r w:rsidR="00115919" w:rsidRPr="00970C35">
        <w:rPr>
          <w:rFonts w:ascii="Times New Roman" w:hAnsi="Times New Roman" w:cs="Times New Roman"/>
        </w:rPr>
        <w:t>align</w:t>
      </w:r>
      <w:r w:rsidR="005C6339" w:rsidRPr="00970C35">
        <w:rPr>
          <w:rFonts w:ascii="Times New Roman" w:hAnsi="Times New Roman" w:cs="Times New Roman"/>
        </w:rPr>
        <w:t xml:space="preserve"> managers’ interests more with </w:t>
      </w:r>
      <w:r w:rsidR="00781FB6" w:rsidRPr="00970C35">
        <w:rPr>
          <w:rFonts w:ascii="Times New Roman" w:hAnsi="Times New Roman" w:cs="Times New Roman"/>
        </w:rPr>
        <w:t>those of the investors’.</w:t>
      </w:r>
      <w:r w:rsidR="005C6339" w:rsidRPr="00970C35">
        <w:rPr>
          <w:rFonts w:ascii="Times New Roman" w:hAnsi="Times New Roman" w:cs="Times New Roman"/>
        </w:rPr>
        <w:t xml:space="preserve"> </w:t>
      </w:r>
    </w:p>
    <w:p w:rsidR="009B6F17" w:rsidRPr="00970C35" w:rsidRDefault="009B6F17" w:rsidP="003C3BD7">
      <w:pPr>
        <w:spacing w:after="120" w:line="480" w:lineRule="auto"/>
        <w:ind w:firstLine="288"/>
        <w:jc w:val="both"/>
        <w:rPr>
          <w:rFonts w:ascii="Times New Roman" w:hAnsi="Times New Roman" w:cs="Times New Roman"/>
          <w:color w:val="FF0000"/>
        </w:rPr>
      </w:pPr>
      <w:r w:rsidRPr="00970C35">
        <w:rPr>
          <w:rFonts w:ascii="Times New Roman" w:hAnsi="Times New Roman" w:cs="Times New Roman"/>
        </w:rPr>
        <w:t xml:space="preserve">At </w:t>
      </w:r>
      <w:r w:rsidR="001B3F63" w:rsidRPr="00970C35">
        <w:rPr>
          <w:rFonts w:ascii="Times New Roman" w:hAnsi="Times New Roman" w:cs="Times New Roman"/>
        </w:rPr>
        <w:t xml:space="preserve">the </w:t>
      </w:r>
      <w:r w:rsidRPr="00970C35">
        <w:rPr>
          <w:rFonts w:ascii="Times New Roman" w:hAnsi="Times New Roman" w:cs="Times New Roman"/>
        </w:rPr>
        <w:t xml:space="preserve">country level, previous studies have also documented how policies and institutions play important roles in protecting investors’ rights. </w:t>
      </w:r>
      <w:r w:rsidR="00D2360C" w:rsidRPr="00970C35">
        <w:rPr>
          <w:rFonts w:ascii="Times New Roman" w:hAnsi="Times New Roman" w:cs="Times New Roman"/>
        </w:rPr>
        <w:t xml:space="preserve">One of the central themes in the law and finance literature is that certain countries do a better job </w:t>
      </w:r>
      <w:r w:rsidR="00115919" w:rsidRPr="00970C35">
        <w:rPr>
          <w:rFonts w:ascii="Times New Roman" w:hAnsi="Times New Roman" w:cs="Times New Roman"/>
        </w:rPr>
        <w:t xml:space="preserve">of </w:t>
      </w:r>
      <w:r w:rsidR="00D2360C" w:rsidRPr="00970C35">
        <w:rPr>
          <w:rFonts w:ascii="Times New Roman" w:hAnsi="Times New Roman" w:cs="Times New Roman"/>
        </w:rPr>
        <w:t>protecting investors</w:t>
      </w:r>
      <w:r w:rsidR="00412335" w:rsidRPr="00970C35">
        <w:rPr>
          <w:rFonts w:ascii="Times New Roman" w:hAnsi="Times New Roman" w:cs="Times New Roman"/>
        </w:rPr>
        <w:t>’ rights</w:t>
      </w:r>
      <w:r w:rsidR="00D2360C" w:rsidRPr="00970C35">
        <w:rPr>
          <w:rFonts w:ascii="Times New Roman" w:hAnsi="Times New Roman" w:cs="Times New Roman"/>
        </w:rPr>
        <w:t>, especially</w:t>
      </w:r>
      <w:r w:rsidR="00412335" w:rsidRPr="00970C35">
        <w:rPr>
          <w:rFonts w:ascii="Times New Roman" w:hAnsi="Times New Roman" w:cs="Times New Roman"/>
        </w:rPr>
        <w:t xml:space="preserve"> for the</w:t>
      </w:r>
      <w:r w:rsidR="00D2360C" w:rsidRPr="00970C35">
        <w:rPr>
          <w:rFonts w:ascii="Times New Roman" w:hAnsi="Times New Roman" w:cs="Times New Roman"/>
        </w:rPr>
        <w:t xml:space="preserve"> </w:t>
      </w:r>
      <w:r w:rsidR="004E29AB" w:rsidRPr="00970C35">
        <w:rPr>
          <w:rFonts w:ascii="Times New Roman" w:hAnsi="Times New Roman" w:cs="Times New Roman"/>
        </w:rPr>
        <w:t>minority stakeholders</w:t>
      </w:r>
      <w:r w:rsidR="00412335" w:rsidRPr="00970C35">
        <w:rPr>
          <w:rFonts w:ascii="Times New Roman" w:hAnsi="Times New Roman" w:cs="Times New Roman"/>
        </w:rPr>
        <w:t xml:space="preserve">, and such protection can in turn </w:t>
      </w:r>
      <w:r w:rsidR="004E29AB" w:rsidRPr="00970C35">
        <w:rPr>
          <w:rFonts w:ascii="Times New Roman" w:hAnsi="Times New Roman" w:cs="Times New Roman"/>
        </w:rPr>
        <w:t>improve</w:t>
      </w:r>
      <w:r w:rsidR="00412335" w:rsidRPr="00970C35">
        <w:rPr>
          <w:rFonts w:ascii="Times New Roman" w:hAnsi="Times New Roman" w:cs="Times New Roman"/>
        </w:rPr>
        <w:t xml:space="preserve"> the efficiency in firms’ investing and financing activities</w:t>
      </w:r>
      <w:r w:rsidR="00D2360C" w:rsidRPr="00970C35">
        <w:rPr>
          <w:rFonts w:ascii="Times New Roman" w:hAnsi="Times New Roman" w:cs="Times New Roman"/>
        </w:rPr>
        <w:t xml:space="preserve">. </w:t>
      </w:r>
      <w:r w:rsidR="00115919" w:rsidRPr="00970C35">
        <w:rPr>
          <w:rFonts w:ascii="Times New Roman" w:hAnsi="Times New Roman" w:cs="Times New Roman"/>
        </w:rPr>
        <w:t>A v</w:t>
      </w:r>
      <w:r w:rsidR="00756082" w:rsidRPr="00970C35">
        <w:rPr>
          <w:rFonts w:ascii="Times New Roman" w:hAnsi="Times New Roman" w:cs="Times New Roman"/>
        </w:rPr>
        <w:t xml:space="preserve">ast majority of the research in this area points out that English common law system dominates civil law systems, especially French civil law, in terms of protecting small investors, allocating resources efficiently, and enhancing financial market development. Additionally, effective law enforcement (e.g. </w:t>
      </w:r>
      <w:r w:rsidR="00756082"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"10.1111/1540-6261.00416", "ISBN" : "0022-1082", "ISSN" : "0022-1082", "PMID" : "5889288", "abstract" : "The existence and the enforcement of insider trading laws in stock markets is a phenomenon of the 1990s. A study of the 103 countries that have stock markets reveals that insider trading laws exist in 87 of them, but enforcement\u2014as evi- denced by prosecutions\u2014has taken place in only 38 of them. Before 1990, the re- spective numbers were 34 and 9. We find that the cost of equity in a country, after controlling for a number of other variables, does not change after the introduction of insider trading laws, but decreases significantly after the first prosecution", "author" : [ { "dropping-particle" : "", "family" : "Bhattacharya", "given" : "Utpal", "non-dropping-particle" : "", "parse-names" : false, "suffix" : "" }, { "dropping-particle" : "", "family" : "Daouk", "given" : "Hazem", "non-dropping-particle" : "", "parse-names" : false, "suffix" : "" } ], "container-title" : "The Journal of Finance", "id" : "ITEM-1", "issue" : "1", "issued" : { "date-parts" : [ [ "2002" ] ] }, "page" : "1-34", "title" : "The World Price of Insider Trading", "type" : "article-journal", "volume" : "LVII" }, "uris" : [ "http://www.mendeley.com/documents/?uuid=6f9eed8a-edad-4931-af0b-c2670a4f4de7" ] } ], "mendeley" : { "formattedCitation" : "Bhattacharya and Daouk (2002)", "plainTextFormattedCitation" : "Bhattacharya and Daouk (2002)", "previouslyFormattedCitation" : "Bhattacharya and Daouk (2002)" }, "properties" : { "noteIndex" : 0 }, "schema" : "https://github.com/citation-style-language/schema/raw/master/csl-citation.json" }</w:instrText>
      </w:r>
      <w:r w:rsidR="00756082" w:rsidRPr="00970C35">
        <w:rPr>
          <w:rFonts w:ascii="Times New Roman" w:hAnsi="Times New Roman" w:cs="Times New Roman"/>
        </w:rPr>
        <w:fldChar w:fldCharType="separate"/>
      </w:r>
      <w:r w:rsidR="00C462AD" w:rsidRPr="00970C35">
        <w:rPr>
          <w:rFonts w:ascii="Times New Roman" w:hAnsi="Times New Roman" w:cs="Times New Roman"/>
          <w:noProof/>
        </w:rPr>
        <w:t>Bhattacharya and Daouk (2002)</w:t>
      </w:r>
      <w:r w:rsidR="00756082" w:rsidRPr="00970C35">
        <w:rPr>
          <w:rFonts w:ascii="Times New Roman" w:hAnsi="Times New Roman" w:cs="Times New Roman"/>
        </w:rPr>
        <w:fldChar w:fldCharType="end"/>
      </w:r>
      <w:r w:rsidR="00756082" w:rsidRPr="00970C35">
        <w:rPr>
          <w:rFonts w:ascii="Times New Roman" w:hAnsi="Times New Roman" w:cs="Times New Roman"/>
        </w:rPr>
        <w:t xml:space="preserve"> is shown to be an important addition and complement to the laws to make the legal system effective. </w:t>
      </w:r>
      <w:r w:rsidRPr="00970C35">
        <w:rPr>
          <w:rFonts w:ascii="Times New Roman" w:hAnsi="Times New Roman" w:cs="Times New Roman"/>
        </w:rPr>
        <w:t xml:space="preserve">For example, </w:t>
      </w:r>
      <w:r w:rsidR="00E94620" w:rsidRPr="00970C35">
        <w:rPr>
          <w:rFonts w:ascii="Times New Roman" w:hAnsi="Times New Roman" w:cs="Times New Roman"/>
        </w:rPr>
        <w:t>they are</w:t>
      </w:r>
      <w:r w:rsidR="00DE5BF1" w:rsidRPr="00970C35">
        <w:rPr>
          <w:rFonts w:ascii="Times New Roman" w:hAnsi="Times New Roman" w:cs="Times New Roman"/>
        </w:rPr>
        <w:t xml:space="preserve"> shown to have positive effect in general on different aspects of firm-level features and activities such as ownership dispersion (</w:t>
      </w:r>
      <w:r w:rsidR="00DE5BF1"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"10.1111/0022-1082.00115", "ISBN" : "00221082", "ISSN" : "00221082", "PMID" : "7729", "abstract" : "We use data on ownership structures of large corporations in 27 wealthy economies to identify the ultimate controlling shareholders of these firms. We find that, except in economies with very good shareholder protection, relatively few of these firms are widely held, in contrast to Berle and Means's image of ownership of the modern corporation. Rather, these firms are typically controlled by families or the State. Equity control by financial institutions is far less common. The controlling shareholders typically have power over firms significantly in excess of their cash flow rights, primarily through the use of pyramids and participation in management.", "author" : [ { "dropping-particle" : "", "family" : "Porta", "given" : "Rafael", "non-dropping-particle" : "La", "parse-names" : false, "suffix" : "" }, { "dropping-particle" : "", "family" : "Lopez-De-Silanes", "given" : "Florencio", "non-dropping-particle" : "", "parse-names" : false, "suffix" : "" }, { "dropping-particle" : "", "family" : "Shleifer", "given" : "Andrei", "non-dropping-particle" : "", "parse-names" : false, "suffix" : "" } ], "container-title" : "The Journal of Finance", "id" : "ITEM-1", "issue" : "2", "issued" : { "date-parts" : [ [ "1999" ] ] }, "page" : "471-517", "title" : "Corporate Ownership Around the World", "type" : "article-journal", "volume" : "54" }, "uris" : [ "http://www.mendeley.com/documents/?uuid=06cb4955-b480-4aa3-a867-23b64ceb707d" ] }, { "id" : "ITEM-2", "itemData" : { "DOI" : "10.2307/222549", "ISBN" : "0022-1082", "ISSN" : "00221082", "abstract" : "Higher Dividend Payout ratio for common vs. code law countries, however, Germany has a higher ratio than the US or UK...See p. 14; Deutschland hat auch einen h\u00f6heren Wert als der Median der Common Law Countries, EVENTUELL \u00dcBER DIE BESONDERHEITEN DES DEUTSCHEN SYSTEMS (INSBEOSNDERE IN VERBINDUNG MIT DEN STEUERN) ZU ERKL\u00c4REN", "author" : [ { "dropping-particle" : "", "family" : "Porta", "given" : "Rafael", "non-dropping-particle" : "La", "parse-names" : false, "suffix" : "" }, { "dropping-particle" : "", "family" : "Lopez-De-Silanes", "given" : "Florencio", "non-dropping-particle" : "", "parse-names" : false, "suffix" : "" }, { "dropping-particle" : "", "family" : "Shleifer", "given" : "Andrei", "non-dropping-particle" : "", "parse-names" : false, "suffix" : "" }, { "dropping-particle" : "", "family" : "Vishny", "given" : "Robert W.", "non-dropping-particle" : "", "parse-names" : false, "suffix" : "" } ], "container-title" : "the Journal of Finance", "id" : "ITEM-2", "issue" : "1", "issued" : { "date-parts" : [ [ "2000" ] ] }, "page" : "1-33", "title" : "Agency Problems and Dividend Policies Around the World", "type" : "article-journal", "volume" : "55" }, "uris" : [ "http://www.mendeley.com/documents/?uuid=88d7cf56-d67e-482f-939c-d25cff632e11" ] }, { "id" : "ITEM-3", "itemData" : { "DOI" : "10.2307/2697775", "ISBN" : "00221082", "ISSN" : "00221082", "PMID" : "10991728", "abstract" : "We present a model of the effects of legal protection of minority shareholders and of cash-flow ownership by a controlling shareholder on the valuation of firms. We then test this model using a sample of 539 large firms from 27 wealthy economies. Consistent with the model, we find evidence of higher valuation of firms in countries with better protection of minority shareholders and in firms with higher cash-flow ownership by the controlling shareholder. CR - Copyright &amp;#169; 2002 American Finance Association", "author" : [ { "dropping-particle" : "", "family" : "Porta", "given" : "Rafael", "non-dropping-particle" : "La", "parse-names" : false, "suffix" : "" }, { "dropping-particle" : "", "family" : "Lopez-de-Silanes", "given" : "Florencio", "non-dropping-particle" : "", "parse-names" : false, "suffix" : "" }, { "dropping-particle" : "", "family" : "Shleifer", "given" : "Andrei", "non-dropping-particle" : "", "parse-names" : false, "suffix" : "" }, { "dropping-particle" : "", "family" : "Vishny", "given" : "Robert", "non-dropping-particle" : "", "parse-names" : false, "suffix" : "" } ], "container-title" : "The Journal of Finance", "id" : "ITEM-3", "issue" : "3", "issued" : { "date-parts" : [ [ "2002" ] ] }, "page" : "1147-1170", "title" : "Investor Protection and Corporate Valuation", "type" : "article-journal", "volume" : "57" }, "uris" : [ "http://www.mendeley.com/documents/?uuid=8017960f-bd6f-4da6-a3f0-a1813a499c7f" ] } ], "mendeley" : { "formattedCitation" : "La Porta, Lopez-De-Silanes, and Shleifer (1999), La Porta et al. (2000), La Porta et al. (2002)", "manualFormatting" : "LLS, 1999", "plainTextFormattedCitation" : "La Porta, Lopez-De-Silanes, and Shleifer (1999), La Porta et al. (2000), La Porta et al. (2002)", "previouslyFormattedCitation" : "La Porta, Lopez-De-Silanes, and Shleifer (1999), La Porta et al. (2000), La Porta et al. (2002)" }, "properties" : { "noteIndex" : 0 }, "schema" : "https://github.com/citation-style-language/schema/raw/master/csl-citation.json" }</w:instrText>
      </w:r>
      <w:r w:rsidR="00DE5BF1" w:rsidRPr="00970C35">
        <w:rPr>
          <w:rFonts w:ascii="Times New Roman" w:hAnsi="Times New Roman" w:cs="Times New Roman"/>
        </w:rPr>
        <w:fldChar w:fldCharType="separate"/>
      </w:r>
      <w:r w:rsidR="00DE5BF1" w:rsidRPr="00970C35">
        <w:rPr>
          <w:rFonts w:ascii="Times New Roman" w:hAnsi="Times New Roman" w:cs="Times New Roman"/>
          <w:noProof/>
        </w:rPr>
        <w:t>LLS, 1999</w:t>
      </w:r>
      <w:r w:rsidR="00DE5BF1" w:rsidRPr="00970C35">
        <w:rPr>
          <w:rFonts w:ascii="Times New Roman" w:hAnsi="Times New Roman" w:cs="Times New Roman"/>
        </w:rPr>
        <w:fldChar w:fldCharType="end"/>
      </w:r>
      <w:r w:rsidR="00DE5BF1" w:rsidRPr="00970C35">
        <w:rPr>
          <w:rFonts w:ascii="Times New Roman" w:hAnsi="Times New Roman" w:cs="Times New Roman"/>
        </w:rPr>
        <w:t>), dividend payouts (</w:t>
      </w:r>
      <w:r w:rsidR="00DE5BF1"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"10.1111/0022-1082.00115", "ISBN" : "00221082", "ISSN" : "00221082", "PMID" : "7729", "abstract" : "We use data on ownership structures of large corporations in 27 wealthy economies to identify the ultimate controlling shareholders of these firms. We find that, except in economies with very good shareholder protection, relatively few of these firms are widely held, in contrast to Berle and Means's image of ownership of the modern corporation. Rather, these firms are typically controlled by families or the State. Equity control by financial institutions is far less common. The controlling shareholders typically have power over firms significantly in excess of their cash flow rights, primarily through the use of pyramids and participation in management.", "author" : [ { "dropping-particle" : "", "family" : "Porta", "given" : "Rafael", "non-dropping-particle" : "La", "parse-names" : false, "suffix" : "" }, { "dropping-particle" : "", "family" : "Lopez-De-Silanes", "given" : "Florencio", "non-dropping-particle" : "", "parse-names" : false, "suffix" : "" }, { "dropping-particle" : "", "family" : "Shleifer", "given" : "Andrei", "non-dropping-particle" : "", "parse-names" : false, "suffix" : "" } ], "container-title" : "The Journal of Finance", "id" : "ITEM-1", "issue" : "2", "issued" : { "date-parts" : [ [ "1999" ] ] }, "page" : "471-517", "title" : "Corporate Ownership Around the World", "type" : "article-journal", "volume" : "54" }, "uris" : [ "http://www.mendeley.com/documents/?uuid=06cb4955-b480-4aa3-a867-23b64ceb707d" ] }, { "id" : "ITEM-2", "itemData" : { "DOI" : "10.2307/222549", "ISBN" : "0022-1082", "ISSN" : "00221082", "abstract" : "Higher Dividend Payout ratio for common vs. code law countries, however, Germany has a higher ratio than the US or UK...See p. 14; Deutschland hat auch einen h\u00f6heren Wert als der Median der Common Law Countries, EVENTUELL \u00dcBER DIE BESONDERHEITEN DES DEUTSCHEN SYSTEMS (INSBEOSNDERE IN VERBINDUNG MIT DEN STEUERN) ZU ERKL\u00c4REN", "author" : [ { "dropping-particle" : "", "family" : "Porta", "given" : "Rafael", "non-dropping-particle" : "La", "parse-names" : false, "suffix" : "" }, { "dropping-particle" : "", "family" : "Lopez-De-Silanes", "given" : "Florencio", "non-dropping-particle" : "", "parse-names" : false, "suffix" : "" }, { "dropping-particle" : "", "family" : "Shleifer", "given" : "Andrei", "non-dropping-particle" : "", "parse-names" : false, "suffix" : "" }, { "dropping-particle" : "", "family" : "Vishny", "given" : "Robert W.", "non-dropping-particle" : "", "parse-names" : false, "suffix" : "" } ], "container-title" : "the Journal of Finance", "id" : "ITEM-2", "issue" : "1", "issued" : { "date-parts" : [ [ "2000" ] ] }, "page" : "1-33", "title" : "Agency Problems and Dividend Policies Around the World", "type" : "article-journal", "volume" : "55" }, "uris" : [ "http://www.mendeley.com/documents/?uuid=88d7cf56-d67e-482f-939c-d25cff632e11" ] }, { "id" : "ITEM-3", "itemData" : { "DOI" : "10.2307/2697775", "ISBN" : "00221082", "ISSN" : "00221082", "PMID" : "10991728", "abstract" : "We present a model of the effects of legal protection of minority shareholders and of cash-flow ownership by a controlling shareholder on the valuation of firms. We then test this model using a sample of 539 large firms from 27 wealthy economies. Consistent with the model, we find evidence of higher valuation of firms in countries with better protection of minority shareholders and in firms with higher cash-flow ownership by the controlling shareholder. CR - Copyright &amp;#169; 2002 American Finance Association", "author" : [ { "dropping-particle" : "", "family" : "Porta", "given" : "Rafael", "non-dropping-particle" : "La", "parse-names" : false, "suffix" : "" }, { "dropping-particle" : "", "family" : "Lopez-de-Silanes", "given" : "Florencio", "non-dropping-particle" : "", "parse-names" : false, "suffix" : "" }, { "dropping-particle" : "", "family" : "Shleifer", "given" : "Andrei", "non-dropping-particle" : "", "parse-names" : false, "suffix" : "" }, { "dropping-particle" : "", "family" : "Vishny", "given" : "Robert", "non-dropping-particle" : "", "parse-names" : false, "suffix" : "" } ], "container-title" : "The Journal of Finance", "id" : "ITEM-3", "issue" : "3", "issued" : { "date-parts" : [ [ "2002" ] ] }, "page" : "1147-1170", "title" : "Investor Protection and Corporate Valuation", "type" : "article-journal", "volume" : "57" }, "uris" : [ "http://www.mendeley.com/documents/?uuid=8017960f-bd6f-4da6-a3f0-a1813a499c7f" ] } ], "mendeley" : { "formattedCitation" : "La Porta, Lopez-De-Silanes, and Shleifer (1999), La Porta et al. (2000), La Porta et al. (2002)", "manualFormatting" : "LLSV, 2000", "plainTextFormattedCitation" : "La Porta, Lopez-De-Silanes, and Shleifer (1999), La Porta et al. (2000), La Porta et al. (2002)", "previouslyFormattedCitation" : "La Porta, Lopez-De-Silanes, and Shleifer (1999), La Porta et al. (2000), La Porta et al. (2002)" }, "properties" : { "noteIndex" : 0 }, "schema" : "https://github.com/citation-style-language/schema/raw/master/csl-citation.json" }</w:instrText>
      </w:r>
      <w:r w:rsidR="00DE5BF1" w:rsidRPr="00970C35">
        <w:rPr>
          <w:rFonts w:ascii="Times New Roman" w:hAnsi="Times New Roman" w:cs="Times New Roman"/>
        </w:rPr>
        <w:fldChar w:fldCharType="separate"/>
      </w:r>
      <w:r w:rsidR="00DE5BF1" w:rsidRPr="00970C35">
        <w:rPr>
          <w:rFonts w:ascii="Times New Roman" w:hAnsi="Times New Roman" w:cs="Times New Roman"/>
          <w:noProof/>
        </w:rPr>
        <w:t>LLSV, 2000</w:t>
      </w:r>
      <w:r w:rsidR="00DE5BF1" w:rsidRPr="00970C35">
        <w:rPr>
          <w:rFonts w:ascii="Times New Roman" w:hAnsi="Times New Roman" w:cs="Times New Roman"/>
        </w:rPr>
        <w:fldChar w:fldCharType="end"/>
      </w:r>
      <w:r w:rsidR="00DE5BF1" w:rsidRPr="00970C35">
        <w:rPr>
          <w:rFonts w:ascii="Times New Roman" w:hAnsi="Times New Roman" w:cs="Times New Roman"/>
        </w:rPr>
        <w:t xml:space="preserve"> and </w:t>
      </w:r>
      <w:r w:rsidR="00DE5BF1"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"10.1016/j.jfineco.2008.03.007", "ISBN" : "0304-405X", "ISSN" : "0304405X", "abstract" : "We show that country-level creditor rights influence dividend policies around the world by establishing the balance of power between debt and equity claimants. Creditors demand and managers consent to a more restrictive payout policy as a substitute for weak creditor rights in an effort to minimize the firm's agency costs of debt. Using a sample of 120,507 firm-years from 52 countries, we find that both the probability and amount of dividend payouts are significantly lower in countries with poor creditor rights. A reduction in the creditor rights index from its highest value to its lowest value implies a 41% reduction in the probability of paying a dividend, and a 60% reduction in dividend payout ratios. These results are robust to numerous control variables, sample variations, model specifications, and alternative hypotheses. We also show that the agency costs of debt play a more decisive role in determining dividend policies than the previously documented agency costs of equity. Overall, our findings contribute to the growing literature arguing that creditors exert significant influence over corporate decision-making outside of bankruptcy. \u00a9 2009 Elsevier B.V. All rights reserved.", "author" : [ { "dropping-particle" : "", "family" : "Brockman", "given" : "Paul", "non-dropping-particle" : "", "parse-names" : false, "suffix" : "" }, { "dropping-particle" : "", "family" : "Unlu", "given" : "Emre", "non-dropping-particle" : "", "parse-names" : false, "suffix" : "" } ], "container-title" : "Journal of Financial Economics", "id" : "ITEM-1", "issue" : "2", "issued" : { "date-parts" : [ [ "2009" ] ] }, "page" : "276-299", "title" : "Dividend policy, creditor rights, and the agency costs of debt", "type" : "article-journal", "volume" : "92" }, "uris" : [ "http://www.mendeley.com/documents/?uuid=dddb2ad8-e5f6-4296-9bd6-0bd0a42cf55e" ] } ], "mendeley" : { "formattedCitation" : "Brockman and Unlu (2009)", "manualFormatting" : "Brockman and Unlu, 2009", "plainTextFormattedCitation" : "Brockman and Unlu (2009)", "previouslyFormattedCitation" : "Brockman and Unlu (2009)" }, "properties" : { "noteIndex" : 0 }, "schema" : "https://github.com/citation-style-language/schema/raw/master/csl-citation.json" }</w:instrText>
      </w:r>
      <w:r w:rsidR="00DE5BF1" w:rsidRPr="00970C35">
        <w:rPr>
          <w:rFonts w:ascii="Times New Roman" w:hAnsi="Times New Roman" w:cs="Times New Roman"/>
        </w:rPr>
        <w:fldChar w:fldCharType="separate"/>
      </w:r>
      <w:r w:rsidR="00DE5BF1" w:rsidRPr="00970C35">
        <w:rPr>
          <w:rFonts w:ascii="Times New Roman" w:hAnsi="Times New Roman" w:cs="Times New Roman"/>
          <w:noProof/>
        </w:rPr>
        <w:t>Brockman and Unlu, 2009</w:t>
      </w:r>
      <w:r w:rsidR="00DE5BF1" w:rsidRPr="00970C35">
        <w:rPr>
          <w:rFonts w:ascii="Times New Roman" w:hAnsi="Times New Roman" w:cs="Times New Roman"/>
        </w:rPr>
        <w:fldChar w:fldCharType="end"/>
      </w:r>
      <w:r w:rsidR="00DE5BF1" w:rsidRPr="00970C35">
        <w:rPr>
          <w:rFonts w:ascii="Times New Roman" w:hAnsi="Times New Roman" w:cs="Times New Roman"/>
        </w:rPr>
        <w:t>), valuation (</w:t>
      </w:r>
      <w:r w:rsidR="00DE5BF1"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"10.2307/2697775", "ISBN" : "00221082", "ISSN" : "00221082", "PMID" : "10991728", "abstract" : "We present a model of the effects of legal protection of minority shareholders and of cash-flow ownership by a controlling shareholder on the valuation of firms. We then test this model using a sample of 539 large firms from 27 wealthy economies. Consistent with the model, we find evidence of higher valuation of firms in countries with better protection of minority shareholders and in firms with higher cash-flow ownership by the controlling shareholder. CR - Copyright &amp;#169; 2002 American Finance Association", "author" : [ { "dropping-particle" : "", "family" : "Porta", "given" : "Rafael", "non-dropping-particle" : "La", "parse-names" : false, "suffix" : "" }, { "dropping-particle" : "", "family" : "Lopez-de-Silanes", "given" : "Florencio", "non-dropping-particle" : "", "parse-names" : false, "suffix" : "" }, { "dropping-particle" : "", "family" : "Shleifer", "given" : "Andrei", "non-dropping-particle" : "", "parse-names" : false, "suffix" : "" }, { "dropping-particle" : "", "family" : "Vishny", "given" : "Robert", "non-dropping-particle" : "", "parse-names" : false, "suffix" : "" } ], "container-title" : "The Journal of Finance", "id" : "ITEM-1", "issue" : "3", "issued" : { "date-parts" : [ [ "2002" ] ] }, "page" : "1147-1170", "title" : "Investor Protection and Corporate Valuation", "type" : "article-journal", "volume" : "57" }, "uris" : [ "http://www.mendeley.com/documents/?uuid=8017960f-bd6f-4da6-a3f0-a1813a499c7f" ] } ], "mendeley" : { "formattedCitation" : "La Porta et al. (2002)", "manualFormatting" : "LLSV, 2002", "plainTextFormattedCitation" : "La Porta et al. (2002)", "previouslyFormattedCitation" : "La Porta et al. (2002)" }, "properties" : { "noteIndex" : 0 }, "schema" : "https://github.com/citation-style-language/schema/raw/master/csl-citation.json" }</w:instrText>
      </w:r>
      <w:r w:rsidR="00DE5BF1" w:rsidRPr="00970C35">
        <w:rPr>
          <w:rFonts w:ascii="Times New Roman" w:hAnsi="Times New Roman" w:cs="Times New Roman"/>
        </w:rPr>
        <w:fldChar w:fldCharType="separate"/>
      </w:r>
      <w:r w:rsidR="00DE5BF1" w:rsidRPr="00970C35">
        <w:rPr>
          <w:rFonts w:ascii="Times New Roman" w:hAnsi="Times New Roman" w:cs="Times New Roman"/>
          <w:noProof/>
        </w:rPr>
        <w:t>LLSV, 2002</w:t>
      </w:r>
      <w:r w:rsidR="00DE5BF1" w:rsidRPr="00970C35">
        <w:rPr>
          <w:rFonts w:ascii="Times New Roman" w:hAnsi="Times New Roman" w:cs="Times New Roman"/>
        </w:rPr>
        <w:fldChar w:fldCharType="end"/>
      </w:r>
      <w:r w:rsidR="00DE5BF1" w:rsidRPr="00970C35">
        <w:rPr>
          <w:rFonts w:ascii="Times New Roman" w:hAnsi="Times New Roman" w:cs="Times New Roman"/>
        </w:rPr>
        <w:t>), and debt enforcement (</w:t>
      </w:r>
      <w:r w:rsidR="00DE5BF1"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"10.1016/j.jfineco.2006.03.004", "ISBN" : "0304-405X", "ISSN" : "0304405X", "abstract" : "We investigate cross-country determinants of private credit, using new data on legal creditor rights and private and public credit registries in 129 countries. Both creditor protection through the legal system and information-sharing institutions are associated with higher ratios of private credit to gross domestic product, but the former is relatively more important in the richer countries. An analysis of legal reforms shows that credit rises after improvements in creditor rights and in information sharing. Creditor rights are remarkably stable over time, contrary to the hypothesis that legal rules are converging. Finally, legal origins are an important determinant of both creditor rights and information-sharing institutions. The analysis suggests that public credit registries, which are primarily a feature of French civil law countries, benefit private credit markets in developing countries. ?? 2006 Elsevier B.V. All rights reserved.", "author" : [ { "dropping-particle" : "", "family" : "Djankov", "given" : "Simeon", "non-dropping-particle" : "", "parse-names" : false, "suffix" : "" }, { "dropping-particle" : "", "family" : "McLiesh", "given" : "Caralee", "non-dropping-particle" : "", "parse-names" : false, "suffix" : "" }, { "dropping-particle" : "", "family" : "Shleifer", "given" : "Andrei", "non-dropping-particle" : "", "parse-names" : false, "suffix" : "" } ], "container-title" : "Journal of Financial Economics", "id" : "ITEM-1", "issued" : { "date-parts" : [ [ "2007" ] ] }, "page" : "299-329", "title" : "Private credit in 129 countries", "type" : "article-journal", "volume" : "84" }, "uris" : [ "http://www.mendeley.com/documents/?uuid=8e4ec3cf-6618-4071-ad1d-6982fe785c6a" ] }, { "id" : "ITEM-2", "itemData" : { "DOI" : "10.1086/595015", "ISBN" : "00223808", "ISSN" : "0022-3808", "abstract" : "Insolvency practitioners from 88 countries describe how debt enforcement will proceed against an identical hotel about to default on its debt. We use the data on time, cost, and the likely disposition of the assets (preservation as a going concern vs. piecemeal sale) to construct a measure of the efficiency of debt enforcement in each country. This measure is strongly correlated with per capita income and legal origin and predicts debt market development. Several characteristics of debt enforcement procedures, such as the structure of appeals and availability of floating charge finance, influence efficiency.", "author" : [ { "dropping-particle" : "", "family" : "Djankov", "given" : "Simeon", "non-dropping-particle" : "", "parse-names" : false, "suffix" : "" }, { "dropping-particle" : "", "family" : "Hart", "given" : "Oliver", "non-dropping-particle" : "", "parse-names" : false, "suffix" : "" }, { "dropping-particle" : "", "family" : "McLiesh", "given" : "Caralee", "non-dropping-particle" : "", "parse-names" : false, "suffix" : "" }, { "dropping-particle" : "", "family" : "Shleifer", "given" : "Andrei", "non-dropping-particle" : "", "parse-names" : false, "suffix" : "" } ], "container-title" : "Journal of Political Economy", "id" : "ITEM-2", "issued" : { "date-parts" : [ [ "2008" ] ] }, "page" : "1105-1149", "title" : "Debt Enforcement around the World", "type" : "article-journal", "volume" : "116" }, "uris" : [ "http://www.mendeley.com/documents/?uuid=fe8a8efc-9c4b-435b-91e0-5421ac293590" ] } ], "mendeley" : { "formattedCitation" : "Djankov, McLiesh, and Shleifer (2007), Djankov et al. (2008)", "manualFormatting" : "Djankov, McLiesh, and Shleifer, 2007, Djankov et al., 2008", "plainTextFormattedCitation" : "Djankov, McLiesh, and Shleifer (2007), Djankov et al. (2008)", "previouslyFormattedCitation" : "Djankov, McLiesh, and Shleifer (2007), Djankov et al. (2008)" }, "properties" : { "noteIndex" : 0 }, "schema" : "https://github.com/citation-style-language/schema/raw/master/csl-citation.json" }</w:instrText>
      </w:r>
      <w:r w:rsidR="00DE5BF1" w:rsidRPr="00970C35">
        <w:rPr>
          <w:rFonts w:ascii="Times New Roman" w:hAnsi="Times New Roman" w:cs="Times New Roman"/>
        </w:rPr>
        <w:fldChar w:fldCharType="separate"/>
      </w:r>
      <w:r w:rsidR="00DE5BF1" w:rsidRPr="00970C35">
        <w:rPr>
          <w:rFonts w:ascii="Times New Roman" w:hAnsi="Times New Roman" w:cs="Times New Roman"/>
          <w:noProof/>
        </w:rPr>
        <w:t>Djankov, McLiesh, and Shleifer, 2007, Djankov et al., 2008</w:t>
      </w:r>
      <w:r w:rsidR="00DE5BF1" w:rsidRPr="00970C35">
        <w:rPr>
          <w:rFonts w:ascii="Times New Roman" w:hAnsi="Times New Roman" w:cs="Times New Roman"/>
        </w:rPr>
        <w:fldChar w:fldCharType="end"/>
      </w:r>
      <w:r w:rsidR="00DE5BF1" w:rsidRPr="00970C35">
        <w:rPr>
          <w:rFonts w:ascii="Times New Roman" w:hAnsi="Times New Roman" w:cs="Times New Roman"/>
        </w:rPr>
        <w:t xml:space="preserve">). </w:t>
      </w:r>
      <w:r w:rsidR="003A6B4D"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"10.1016/S0304-405X(00)00070-2", "ISBN" : "0304-405X", "ISSN" : "0304405X", "PMID" : "239", "abstract" : "Financial markets appear to improve the allocation of capital. Across 65 countries, those with developed financial sectors increase investment more in their growing industries, and decrease investment more in their declining industries, than those with undeveloped financial sectors. The efficiency of capital allocation is negatively correlated with the extent of state ownership in the economy, positively correlated with the amount of firm-specific information in domestic stock returns, and positively correlated with the legal protection of minority investors. In particular, strong minority investor rights appear to curb overinvestment in declining industries.", "author" : [ { "dropping-particle" : "", "family" : "Wurgler", "given" : "Jeffrey", "non-dropping-particle" : "", "parse-names" : false, "suffix" : "" } ], "container-title" : "Journal of Financial Economics", "id" : "ITEM-1", "issue" : "1-2", "issued" : { "date-parts" : [ [ "2000" ] ] }, "page" : "187-214", "title" : "Financial markets and the allocation of capital", "type" : "article-journal", "volume" : "58" }, "uris" : [ "http://www.mendeley.com/documents/?uuid=aaf5c64b-6485-464e-89f0-e865a5846c5a" ] } ], "mendeley" : { "formattedCitation" : "Wurgler (2000)", "plainTextFormattedCitation" : "Wurgler (2000)", "previouslyFormattedCitation" : "Wurgler (2000)" }, "properties" : { "noteIndex" : 0 }, "schema" : "https://github.com/citation-style-language/schema/raw/master/csl-citation.json" }</w:instrText>
      </w:r>
      <w:r w:rsidR="003A6B4D" w:rsidRPr="00970C35">
        <w:rPr>
          <w:rFonts w:ascii="Times New Roman" w:hAnsi="Times New Roman" w:cs="Times New Roman"/>
        </w:rPr>
        <w:fldChar w:fldCharType="separate"/>
      </w:r>
      <w:r w:rsidR="00C462AD" w:rsidRPr="00970C35">
        <w:rPr>
          <w:rFonts w:ascii="Times New Roman" w:hAnsi="Times New Roman" w:cs="Times New Roman"/>
          <w:noProof/>
        </w:rPr>
        <w:t>Wurgler (2000)</w:t>
      </w:r>
      <w:r w:rsidR="003A6B4D" w:rsidRPr="00970C35">
        <w:rPr>
          <w:rFonts w:ascii="Times New Roman" w:hAnsi="Times New Roman" w:cs="Times New Roman"/>
        </w:rPr>
        <w:fldChar w:fldCharType="end"/>
      </w:r>
      <w:r w:rsidR="003A6B4D" w:rsidRPr="00970C35">
        <w:rPr>
          <w:rFonts w:ascii="Times New Roman" w:hAnsi="Times New Roman" w:cs="Times New Roman"/>
        </w:rPr>
        <w:t xml:space="preserve"> also argues that strong investor rights are associated with more efficient capital allocation across industries with different growth prospects. </w:t>
      </w:r>
      <w:r w:rsidR="00DE5BF1" w:rsidRPr="00970C35">
        <w:rPr>
          <w:rFonts w:ascii="Times New Roman" w:hAnsi="Times New Roman" w:cs="Times New Roman"/>
        </w:rPr>
        <w:t>The</w:t>
      </w:r>
      <w:r w:rsidR="00115919" w:rsidRPr="00970C35">
        <w:rPr>
          <w:rFonts w:ascii="Times New Roman" w:hAnsi="Times New Roman" w:cs="Times New Roman"/>
        </w:rPr>
        <w:t>se</w:t>
      </w:r>
      <w:r w:rsidR="00DE5BF1" w:rsidRPr="00970C35">
        <w:rPr>
          <w:rFonts w:ascii="Times New Roman" w:hAnsi="Times New Roman" w:cs="Times New Roman"/>
        </w:rPr>
        <w:t xml:space="preserve"> authors argue that investigating country characteristics has econometric advantages because they are largely considered exogenous to firm activities. For instance, legal systems are typically introduced into various countries through a combination of conquest, imperialism, outright borrowing, and more subtle imitation.</w:t>
      </w:r>
      <w:r w:rsidRPr="00970C35">
        <w:rPr>
          <w:rFonts w:ascii="Times New Roman" w:hAnsi="Times New Roman" w:cs="Times New Roman"/>
        </w:rPr>
        <w:t xml:space="preserve"> </w:t>
      </w:r>
    </w:p>
    <w:p w:rsidR="007918B8" w:rsidRPr="00970C35" w:rsidRDefault="00133975" w:rsidP="004D7213">
      <w:pPr>
        <w:spacing w:after="0" w:line="480" w:lineRule="auto"/>
        <w:ind w:firstLine="432"/>
        <w:jc w:val="both"/>
        <w:rPr>
          <w:rFonts w:ascii="Times New Roman" w:hAnsi="Times New Roman" w:cs="Times New Roman"/>
        </w:rPr>
      </w:pPr>
      <w:r w:rsidRPr="00970C35">
        <w:rPr>
          <w:rFonts w:ascii="Times New Roman" w:hAnsi="Times New Roman" w:cs="Times New Roman"/>
        </w:rPr>
        <w:lastRenderedPageBreak/>
        <w:t>W</w:t>
      </w:r>
      <w:r w:rsidR="00821BD4" w:rsidRPr="00970C35">
        <w:rPr>
          <w:rFonts w:ascii="Times New Roman" w:hAnsi="Times New Roman" w:cs="Times New Roman"/>
        </w:rPr>
        <w:t xml:space="preserve">e </w:t>
      </w:r>
      <w:r w:rsidR="00A70CC8" w:rsidRPr="00970C35">
        <w:rPr>
          <w:rFonts w:ascii="Times New Roman" w:hAnsi="Times New Roman" w:cs="Times New Roman"/>
        </w:rPr>
        <w:t xml:space="preserve">follow the spirit of </w:t>
      </w:r>
      <w:r w:rsidRPr="00970C35">
        <w:rPr>
          <w:rFonts w:ascii="Times New Roman" w:hAnsi="Times New Roman" w:cs="Times New Roman"/>
        </w:rPr>
        <w:t xml:space="preserve">the </w:t>
      </w:r>
      <w:r w:rsidR="00115919" w:rsidRPr="00970C35">
        <w:rPr>
          <w:rFonts w:ascii="Times New Roman" w:hAnsi="Times New Roman" w:cs="Times New Roman"/>
        </w:rPr>
        <w:t>studies</w:t>
      </w:r>
      <w:r w:rsidRPr="00970C35">
        <w:rPr>
          <w:rFonts w:ascii="Times New Roman" w:hAnsi="Times New Roman" w:cs="Times New Roman"/>
        </w:rPr>
        <w:t xml:space="preserve"> mentioned above</w:t>
      </w:r>
      <w:r w:rsidR="00115919" w:rsidRPr="00970C35">
        <w:rPr>
          <w:rFonts w:ascii="Times New Roman" w:hAnsi="Times New Roman" w:cs="Times New Roman"/>
        </w:rPr>
        <w:t>,</w:t>
      </w:r>
      <w:r w:rsidR="00A70CC8" w:rsidRPr="00970C35">
        <w:rPr>
          <w:rFonts w:ascii="Times New Roman" w:hAnsi="Times New Roman" w:cs="Times New Roman"/>
        </w:rPr>
        <w:t xml:space="preserve"> and </w:t>
      </w:r>
      <w:r w:rsidR="00821BD4" w:rsidRPr="00970C35">
        <w:rPr>
          <w:rFonts w:ascii="Times New Roman" w:hAnsi="Times New Roman" w:cs="Times New Roman"/>
        </w:rPr>
        <w:t xml:space="preserve">posit that </w:t>
      </w:r>
      <w:r w:rsidR="004D7213" w:rsidRPr="00970C35">
        <w:rPr>
          <w:rFonts w:ascii="Times New Roman" w:hAnsi="Times New Roman" w:cs="Times New Roman"/>
        </w:rPr>
        <w:t xml:space="preserve">corporate governance and institutions at </w:t>
      </w:r>
      <w:r w:rsidR="00115919" w:rsidRPr="00970C35">
        <w:rPr>
          <w:rFonts w:ascii="Times New Roman" w:hAnsi="Times New Roman" w:cs="Times New Roman"/>
        </w:rPr>
        <w:t xml:space="preserve">the </w:t>
      </w:r>
      <w:r w:rsidR="004D7213" w:rsidRPr="00970C35">
        <w:rPr>
          <w:rFonts w:ascii="Times New Roman" w:hAnsi="Times New Roman" w:cs="Times New Roman"/>
        </w:rPr>
        <w:t>country level</w:t>
      </w:r>
      <w:r w:rsidR="00821BD4" w:rsidRPr="00970C35">
        <w:rPr>
          <w:rFonts w:ascii="Times New Roman" w:hAnsi="Times New Roman" w:cs="Times New Roman"/>
        </w:rPr>
        <w:t xml:space="preserve"> can affect firms’ budgeting and investment </w:t>
      </w:r>
      <w:r w:rsidRPr="00970C35">
        <w:rPr>
          <w:rFonts w:ascii="Times New Roman" w:hAnsi="Times New Roman" w:cs="Times New Roman"/>
        </w:rPr>
        <w:t>efficiency</w:t>
      </w:r>
      <w:r w:rsidR="00821BD4" w:rsidRPr="00970C35">
        <w:rPr>
          <w:rFonts w:ascii="Times New Roman" w:hAnsi="Times New Roman" w:cs="Times New Roman"/>
        </w:rPr>
        <w:t xml:space="preserve"> in the context of </w:t>
      </w:r>
      <w:r w:rsidR="00115919" w:rsidRPr="00970C35">
        <w:rPr>
          <w:rFonts w:ascii="Times New Roman" w:hAnsi="Times New Roman" w:cs="Times New Roman"/>
        </w:rPr>
        <w:t xml:space="preserve">a </w:t>
      </w:r>
      <w:r w:rsidR="00821BD4" w:rsidRPr="00970C35">
        <w:rPr>
          <w:rFonts w:ascii="Times New Roman" w:hAnsi="Times New Roman" w:cs="Times New Roman"/>
        </w:rPr>
        <w:t xml:space="preserve">“use it or lose it” dilemma. </w:t>
      </w:r>
      <w:r w:rsidR="00A70CC8" w:rsidRPr="00970C35">
        <w:rPr>
          <w:rFonts w:ascii="Times New Roman" w:hAnsi="Times New Roman" w:cs="Times New Roman"/>
        </w:rPr>
        <w:t xml:space="preserve">Specifically, </w:t>
      </w:r>
      <w:r w:rsidRPr="00970C35">
        <w:rPr>
          <w:rFonts w:ascii="Times New Roman" w:hAnsi="Times New Roman" w:cs="Times New Roman"/>
        </w:rPr>
        <w:t xml:space="preserve">according to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"10.1111/0022-1082.00299", "ISBN" : "1540-6261", "ISSN" : "0022-1082", "abstract" : "We develop a two-tiered agency model that shows how rent-seeking behavior on the part of division managers can subvert the workings of an internal capital market. By rent-seeking, division managers can raise their bargaining power and extract greater overall compensation from the CEO. And because the CEO is herself an agent of outside investors, this extra compensation may take the form not of cash wages, but rather of preferential capital budgeting allocations. One interesting feature of our model is that it implies a kind of \"socialism\" in internal capital allocation, whereby weaker divisions get subsidized by stronger ones.", "author" : [ { "dropping-particle" : "", "family" : "Scharfstein", "given" : "David S", "non-dropping-particle" : "", "parse-names" : false, "suffix" : "" }, { "dropping-particle" : "", "family" : "Stein", "given" : "Jeremy C", "non-dropping-particle" : "", "parse-names" : false, "suffix" : "" } ], "container-title" : "The Journal of Finance", "id" : "ITEM-1", "issue" : "6", "issued" : { "date-parts" : [ [ "2000" ] ] }, "page" : "2537-2564", "title" : "The Dark Side of Internal Capital Markets: Divisional Rent-Seeking and Inefficient Investment", "type" : "article-journal", "volume" : "55" }, "uris" : [ "http://www.mendeley.com/documents/?uuid=f836333e-3896-47a2-8d42-fc2613b777fa" ] } ], "mendeley" : { "formattedCitation" : "Scharfstein and Stein (2000)", "plainTextFormattedCitation" : "Scharfstein and Stein (2000)", "previouslyFormattedCitation" : "Scharfstein and Stein (2000)"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Scharfstein and Stein (2000)</w:t>
      </w:r>
      <w:r w:rsidRPr="00970C35">
        <w:rPr>
          <w:rFonts w:ascii="Times New Roman" w:hAnsi="Times New Roman" w:cs="Times New Roman"/>
        </w:rPr>
        <w:fldChar w:fldCharType="end"/>
      </w:r>
      <w:r w:rsidRPr="00970C35">
        <w:rPr>
          <w:rFonts w:ascii="Times New Roman" w:hAnsi="Times New Roman" w:cs="Times New Roman"/>
        </w:rPr>
        <w:t xml:space="preserve">’s model and empirical findings such as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"10.1016/j.jfineco.2014.10.011", "ISBN" : "0304-405X", "ISSN" : "0304405X", "abstract" : "We use a unique data set that contains information on more than 1,000 Chief Executive Officers (CEOs) and Chief Financial Officers (CFOs) around the world to investigate the degree to which executives delegate financial decisions and the circumstances that drive variation in delegation. Delegation does not appear to be monolithic; instead, our results show that it varies across corporate policies and also varies with the personal characteristics of the CEO. We find that CEOs delegate financial decisions for which they need the most input, when they are overloaded, and when they are distracted by recent acquisitions. CEOs delegate less when they are knowledgeable (long-tenured or with a finance background). Capital is allocated based on \"gut feel\" and the personal reputation of the manager running a given division. Finally, corporate politics and corporate socialism affect capital allocation in European and Asian firms.", "author" : [ { "dropping-particle" : "", "family" : "Graham", "given" : "John R.", "non-dropping-particle" : "", "parse-names" : false, "suffix" : "" }, { "dropping-particle" : "", "family" : "Harvey", "given" : "Campbell R.", "non-dropping-particle" : "", "parse-names" : false, "suffix" : "" }, { "dropping-particle" : "", "family" : "Puri", "given" : "Manju", "non-dropping-particle" : "", "parse-names" : false, "suffix" : "" } ], "container-title" : "Journal of Financial Economics", "id" : "ITEM-1", "issue" : "3", "issued" : { "date-parts" : [ [ "2015" ] ] }, "page" : "449-470", "publisher" : "Elsevier", "title" : "Capital allocation and delegation of decision-making authority within firms", "type" : "article-journal", "volume" : "115" }, "uris" : [ "http://www.mendeley.com/documents/?uuid=44a23cc6-895c-4883-a6ed-a1a8a867a33d" ] } ], "mendeley" : { "formattedCitation" : "Graham, Harvey, and Puri (2015)", "plainTextFormattedCitation" : "Graham, Harvey, and Puri (2015)", "previouslyFormattedCitation" : "Graham, Harvey, and Puri (2015)"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Graham, Harvey, and Puri (2015)</w:t>
      </w:r>
      <w:r w:rsidRPr="00970C35">
        <w:rPr>
          <w:rFonts w:ascii="Times New Roman" w:hAnsi="Times New Roman" w:cs="Times New Roman"/>
        </w:rPr>
        <w:fldChar w:fldCharType="end"/>
      </w:r>
      <w:r w:rsidRPr="00970C35">
        <w:rPr>
          <w:rFonts w:ascii="Times New Roman" w:hAnsi="Times New Roman" w:cs="Times New Roman"/>
        </w:rPr>
        <w:t xml:space="preserve">, firms with their CEOs’ interest </w:t>
      </w:r>
      <w:r w:rsidR="00DE5BF1" w:rsidRPr="00970C35">
        <w:rPr>
          <w:rFonts w:ascii="Times New Roman" w:hAnsi="Times New Roman" w:cs="Times New Roman"/>
        </w:rPr>
        <w:t>less</w:t>
      </w:r>
      <w:r w:rsidRPr="00970C35">
        <w:rPr>
          <w:rFonts w:ascii="Times New Roman" w:hAnsi="Times New Roman" w:cs="Times New Roman"/>
        </w:rPr>
        <w:t xml:space="preserve"> closely aligned with </w:t>
      </w:r>
      <w:r w:rsidR="00440F16" w:rsidRPr="00970C35">
        <w:rPr>
          <w:rFonts w:ascii="Times New Roman" w:hAnsi="Times New Roman" w:cs="Times New Roman"/>
        </w:rPr>
        <w:t xml:space="preserve">that of </w:t>
      </w:r>
      <w:r w:rsidRPr="00970C35">
        <w:rPr>
          <w:rFonts w:ascii="Times New Roman" w:hAnsi="Times New Roman" w:cs="Times New Roman"/>
        </w:rPr>
        <w:t xml:space="preserve">outside investors are </w:t>
      </w:r>
      <w:r w:rsidR="00DE5BF1" w:rsidRPr="00970C35">
        <w:rPr>
          <w:rFonts w:ascii="Times New Roman" w:hAnsi="Times New Roman" w:cs="Times New Roman"/>
        </w:rPr>
        <w:t>more</w:t>
      </w:r>
      <w:r w:rsidRPr="00970C35">
        <w:rPr>
          <w:rFonts w:ascii="Times New Roman" w:hAnsi="Times New Roman" w:cs="Times New Roman"/>
        </w:rPr>
        <w:t xml:space="preserve"> likely to demonstrate </w:t>
      </w:r>
      <w:r w:rsidR="00850658" w:rsidRPr="00970C35">
        <w:rPr>
          <w:rFonts w:ascii="Times New Roman" w:hAnsi="Times New Roman" w:cs="Times New Roman"/>
        </w:rPr>
        <w:t>“</w:t>
      </w:r>
      <w:r w:rsidRPr="00970C35">
        <w:rPr>
          <w:rFonts w:ascii="Times New Roman" w:hAnsi="Times New Roman" w:cs="Times New Roman"/>
        </w:rPr>
        <w:t>socialism</w:t>
      </w:r>
      <w:r w:rsidR="00850658" w:rsidRPr="00970C35">
        <w:rPr>
          <w:rFonts w:ascii="Times New Roman" w:hAnsi="Times New Roman" w:cs="Times New Roman"/>
        </w:rPr>
        <w:t>” in capital allocation</w:t>
      </w:r>
      <w:r w:rsidR="00115919" w:rsidRPr="00970C35">
        <w:rPr>
          <w:rFonts w:ascii="Times New Roman" w:hAnsi="Times New Roman" w:cs="Times New Roman"/>
        </w:rPr>
        <w:t>—</w:t>
      </w:r>
      <w:r w:rsidRPr="00970C35">
        <w:rPr>
          <w:rFonts w:ascii="Times New Roman" w:hAnsi="Times New Roman" w:cs="Times New Roman"/>
        </w:rPr>
        <w:t xml:space="preserve">reallocating budget from high-productivity </w:t>
      </w:r>
      <w:r w:rsidR="00CF0FF8" w:rsidRPr="00970C35">
        <w:rPr>
          <w:rFonts w:ascii="Times New Roman" w:hAnsi="Times New Roman" w:cs="Times New Roman"/>
        </w:rPr>
        <w:t xml:space="preserve">divisions </w:t>
      </w:r>
      <w:r w:rsidRPr="00970C35">
        <w:rPr>
          <w:rFonts w:ascii="Times New Roman" w:hAnsi="Times New Roman" w:cs="Times New Roman"/>
        </w:rPr>
        <w:t xml:space="preserve">to low-productivity </w:t>
      </w:r>
      <w:r w:rsidR="00115919" w:rsidRPr="00970C35">
        <w:rPr>
          <w:rFonts w:ascii="Times New Roman" w:hAnsi="Times New Roman" w:cs="Times New Roman"/>
        </w:rPr>
        <w:t>divisions</w:t>
      </w:r>
      <w:r w:rsidRPr="00970C35">
        <w:rPr>
          <w:rFonts w:ascii="Times New Roman" w:hAnsi="Times New Roman" w:cs="Times New Roman"/>
        </w:rPr>
        <w:t>.</w:t>
      </w:r>
      <w:r w:rsidR="007918B8" w:rsidRPr="00970C35">
        <w:rPr>
          <w:rFonts w:ascii="Times New Roman" w:hAnsi="Times New Roman" w:cs="Times New Roman"/>
        </w:rPr>
        <w:t xml:space="preserve"> </w:t>
      </w:r>
      <w:r w:rsidR="00850658"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"10.1016/S0929-1199(01)00033-5", "ISBN" : "0929-1199", "ISSN" : "09291199", "abstract" : "Using the quarterly Compustat files, we present empirical findings that business capital investment is significantly higher in the fourth quarter than in other quarters. Even after controlling for business capital investment determinants, we find that the fourth quarter capital investment is significantly larger but less sensitive to investment opportunities than other quarters' capital investment. This phenomenon is more evident for firms with larger cash holdings than for firms with smaller cash holdings, for larger firms than for smaller firms, and for diversified firms than for stand-alone firms. Our findings suggest a high level of agency costs in corporate investment decisions. ?? 2002 Elsevier Science B.V. All rights reserved.", "author" : [ { "dropping-particle" : "", "family" : "Shin", "given" : "Hyun-Han", "non-dropping-particle" : "", "parse-names" : false, "suffix" : "" }, { "dropping-particle" : "", "family" : "Kim", "given" : "Yong H.", "non-dropping-particle" : "", "parse-names" : false, "suffix" : "" } ], "container-title" : "Journal of Corporate Finance", "id" : "ITEM-1", "issued" : { "date-parts" : [ [ "2002" ] ] }, "page" : "139-158", "title" : "Agency costs and efficiency of business capital investment: Evidence from quarterly capital expenditures", "type" : "article-journal", "volume" : "8" }, "uris" : [ "http://www.mendeley.com/documents/?uuid=1ecc75bf-057a-4382-be94-515f54fd7cd6" ] } ], "mendeley" : { "formattedCitation" : "Shin and Kim (2002)", "plainTextFormattedCitation" : "Shin and Kim (2002)", "previouslyFormattedCitation" : "Shin and Kim (2002)" }, "properties" : { "noteIndex" : 0 }, "schema" : "https://github.com/citation-style-language/schema/raw/master/csl-citation.json" }</w:instrText>
      </w:r>
      <w:r w:rsidR="00850658" w:rsidRPr="00970C35">
        <w:rPr>
          <w:rFonts w:ascii="Times New Roman" w:hAnsi="Times New Roman" w:cs="Times New Roman"/>
        </w:rPr>
        <w:fldChar w:fldCharType="separate"/>
      </w:r>
      <w:r w:rsidR="00C462AD" w:rsidRPr="00970C35">
        <w:rPr>
          <w:rFonts w:ascii="Times New Roman" w:hAnsi="Times New Roman" w:cs="Times New Roman"/>
          <w:noProof/>
        </w:rPr>
        <w:t>Shin and Kim (2002)</w:t>
      </w:r>
      <w:r w:rsidR="00850658" w:rsidRPr="00970C35">
        <w:rPr>
          <w:rFonts w:ascii="Times New Roman" w:hAnsi="Times New Roman" w:cs="Times New Roman"/>
        </w:rPr>
        <w:fldChar w:fldCharType="end"/>
      </w:r>
      <w:r w:rsidR="00850658" w:rsidRPr="00970C35">
        <w:rPr>
          <w:rFonts w:ascii="Times New Roman" w:hAnsi="Times New Roman" w:cs="Times New Roman"/>
        </w:rPr>
        <w:t xml:space="preserve"> argue that </w:t>
      </w:r>
      <w:r w:rsidR="00CF0FF8" w:rsidRPr="00970C35">
        <w:rPr>
          <w:rFonts w:ascii="Times New Roman" w:hAnsi="Times New Roman" w:cs="Times New Roman"/>
        </w:rPr>
        <w:t xml:space="preserve">this would cause low productivity divisions to be allocated with excessive capital. That is, low productivity divisions do not invest immediately due to the absence of profitable opportunities, but they use up their budget towards the end of the fiscal year due to the “use it or lose it” dilemma. </w:t>
      </w:r>
      <w:r w:rsidR="005219B7" w:rsidRPr="00970C35">
        <w:rPr>
          <w:rFonts w:ascii="Times New Roman" w:hAnsi="Times New Roman" w:cs="Times New Roman"/>
        </w:rPr>
        <w:t xml:space="preserve">As a result, we expect to observe less </w:t>
      </w:r>
      <w:r w:rsidR="007918B8" w:rsidRPr="00970C35">
        <w:rPr>
          <w:rFonts w:ascii="Times New Roman" w:hAnsi="Times New Roman" w:cs="Times New Roman"/>
        </w:rPr>
        <w:t>“</w:t>
      </w:r>
      <w:r w:rsidR="005219B7" w:rsidRPr="00970C35">
        <w:rPr>
          <w:rFonts w:ascii="Times New Roman" w:hAnsi="Times New Roman" w:cs="Times New Roman"/>
        </w:rPr>
        <w:t>fourth quarter effect” in countries</w:t>
      </w:r>
      <w:r w:rsidR="00440F16" w:rsidRPr="00970C35">
        <w:rPr>
          <w:rFonts w:ascii="Times New Roman" w:hAnsi="Times New Roman" w:cs="Times New Roman"/>
        </w:rPr>
        <w:t xml:space="preserve"> where CEO’s interest is better aligned with that of outside </w:t>
      </w:r>
      <w:r w:rsidR="00CF0FF8" w:rsidRPr="00970C35">
        <w:rPr>
          <w:rFonts w:ascii="Times New Roman" w:hAnsi="Times New Roman" w:cs="Times New Roman"/>
        </w:rPr>
        <w:t xml:space="preserve">investors. </w:t>
      </w:r>
      <w:r w:rsidR="00115919" w:rsidRPr="00970C35">
        <w:rPr>
          <w:rFonts w:ascii="Times New Roman" w:hAnsi="Times New Roman" w:cs="Times New Roman"/>
        </w:rPr>
        <w:t>This is expected</w:t>
      </w:r>
      <w:r w:rsidR="00CF0FF8" w:rsidRPr="00970C35">
        <w:rPr>
          <w:rFonts w:ascii="Times New Roman" w:hAnsi="Times New Roman" w:cs="Times New Roman"/>
        </w:rPr>
        <w:t xml:space="preserve"> because</w:t>
      </w:r>
      <w:r w:rsidR="005219B7" w:rsidRPr="00970C35">
        <w:rPr>
          <w:rFonts w:ascii="Times New Roman" w:hAnsi="Times New Roman" w:cs="Times New Roman"/>
        </w:rPr>
        <w:t xml:space="preserve"> more </w:t>
      </w:r>
      <w:r w:rsidR="006E757C" w:rsidRPr="00970C35">
        <w:rPr>
          <w:rFonts w:ascii="Times New Roman" w:hAnsi="Times New Roman" w:cs="Times New Roman"/>
        </w:rPr>
        <w:t>“</w:t>
      </w:r>
      <w:r w:rsidR="005219B7" w:rsidRPr="00970C35">
        <w:rPr>
          <w:rFonts w:ascii="Times New Roman" w:hAnsi="Times New Roman" w:cs="Times New Roman"/>
        </w:rPr>
        <w:t>benevolent</w:t>
      </w:r>
      <w:r w:rsidR="006E757C" w:rsidRPr="00970C35">
        <w:rPr>
          <w:rFonts w:ascii="Times New Roman" w:hAnsi="Times New Roman" w:cs="Times New Roman"/>
        </w:rPr>
        <w:t>”</w:t>
      </w:r>
      <w:r w:rsidR="005219B7" w:rsidRPr="00970C35">
        <w:rPr>
          <w:rFonts w:ascii="Times New Roman" w:hAnsi="Times New Roman" w:cs="Times New Roman"/>
        </w:rPr>
        <w:t xml:space="preserve"> CEOs should do a better job </w:t>
      </w:r>
      <w:r w:rsidR="00115919" w:rsidRPr="00970C35">
        <w:rPr>
          <w:rFonts w:ascii="Times New Roman" w:hAnsi="Times New Roman" w:cs="Times New Roman"/>
        </w:rPr>
        <w:t xml:space="preserve">of </w:t>
      </w:r>
      <w:r w:rsidR="005219B7" w:rsidRPr="00970C35">
        <w:rPr>
          <w:rFonts w:ascii="Times New Roman" w:hAnsi="Times New Roman" w:cs="Times New Roman"/>
        </w:rPr>
        <w:t xml:space="preserve">overseeing </w:t>
      </w:r>
      <w:r w:rsidR="00427C51" w:rsidRPr="00970C35">
        <w:rPr>
          <w:rFonts w:ascii="Times New Roman" w:hAnsi="Times New Roman" w:cs="Times New Roman"/>
        </w:rPr>
        <w:t xml:space="preserve">and allocating </w:t>
      </w:r>
      <w:r w:rsidR="00115919" w:rsidRPr="00970C35">
        <w:rPr>
          <w:rFonts w:ascii="Times New Roman" w:hAnsi="Times New Roman" w:cs="Times New Roman"/>
        </w:rPr>
        <w:t xml:space="preserve">the </w:t>
      </w:r>
      <w:r w:rsidR="005219B7" w:rsidRPr="00970C35">
        <w:rPr>
          <w:rFonts w:ascii="Times New Roman" w:hAnsi="Times New Roman" w:cs="Times New Roman"/>
        </w:rPr>
        <w:t>firms’ budget</w:t>
      </w:r>
      <w:r w:rsidR="00115919" w:rsidRPr="00970C35">
        <w:rPr>
          <w:rFonts w:ascii="Times New Roman" w:hAnsi="Times New Roman" w:cs="Times New Roman"/>
        </w:rPr>
        <w:t>s</w:t>
      </w:r>
      <w:r w:rsidR="005219B7" w:rsidRPr="00970C35">
        <w:rPr>
          <w:rFonts w:ascii="Times New Roman" w:hAnsi="Times New Roman" w:cs="Times New Roman"/>
        </w:rPr>
        <w:t xml:space="preserve">. </w:t>
      </w:r>
    </w:p>
    <w:p w:rsidR="001B3F63" w:rsidRPr="00970C35" w:rsidRDefault="007918B8" w:rsidP="00F354AB">
      <w:pPr>
        <w:spacing w:after="240" w:line="480" w:lineRule="auto"/>
        <w:ind w:firstLine="432"/>
        <w:jc w:val="both"/>
        <w:rPr>
          <w:rFonts w:ascii="Times New Roman" w:hAnsi="Times New Roman" w:cs="Times New Roman"/>
        </w:rPr>
      </w:pPr>
      <w:r w:rsidRPr="00970C35">
        <w:rPr>
          <w:rFonts w:ascii="Times New Roman" w:hAnsi="Times New Roman" w:cs="Times New Roman"/>
        </w:rPr>
        <w:t xml:space="preserve">Alternatively, however, </w:t>
      </w:r>
      <w:r w:rsidR="00C35368" w:rsidRPr="00970C35">
        <w:rPr>
          <w:rFonts w:ascii="Times New Roman" w:hAnsi="Times New Roman" w:cs="Times New Roman"/>
        </w:rPr>
        <w:t>another</w:t>
      </w:r>
      <w:r w:rsidRPr="00970C35">
        <w:rPr>
          <w:rFonts w:ascii="Times New Roman" w:hAnsi="Times New Roman" w:cs="Times New Roman"/>
        </w:rPr>
        <w:t xml:space="preserve"> possible consequence</w:t>
      </w:r>
      <w:r w:rsidR="00C35368" w:rsidRPr="00970C35">
        <w:rPr>
          <w:rFonts w:ascii="Times New Roman" w:hAnsi="Times New Roman" w:cs="Times New Roman"/>
        </w:rPr>
        <w:t xml:space="preserve"> of “socialism” in capital allocation</w:t>
      </w:r>
      <w:r w:rsidRPr="00970C35">
        <w:rPr>
          <w:rFonts w:ascii="Times New Roman" w:hAnsi="Times New Roman" w:cs="Times New Roman"/>
        </w:rPr>
        <w:t xml:space="preserve"> is that </w:t>
      </w:r>
      <w:r w:rsidR="002533B0" w:rsidRPr="00970C35">
        <w:rPr>
          <w:rFonts w:ascii="Times New Roman" w:hAnsi="Times New Roman" w:cs="Times New Roman"/>
        </w:rPr>
        <w:t>divisional manager</w:t>
      </w:r>
      <w:r w:rsidRPr="00970C35">
        <w:rPr>
          <w:rFonts w:ascii="Times New Roman" w:hAnsi="Times New Roman" w:cs="Times New Roman"/>
        </w:rPr>
        <w:t>s</w:t>
      </w:r>
      <w:r w:rsidR="00BF7092" w:rsidRPr="00970C35">
        <w:rPr>
          <w:rFonts w:ascii="Times New Roman" w:hAnsi="Times New Roman" w:cs="Times New Roman"/>
        </w:rPr>
        <w:t xml:space="preserve"> </w:t>
      </w:r>
      <w:r w:rsidRPr="00970C35">
        <w:rPr>
          <w:rFonts w:ascii="Times New Roman" w:hAnsi="Times New Roman" w:cs="Times New Roman"/>
        </w:rPr>
        <w:t>have lower incentives to exaggerate their investment opportunities</w:t>
      </w:r>
      <w:r w:rsidR="00115919" w:rsidRPr="00970C35">
        <w:rPr>
          <w:rFonts w:ascii="Times New Roman" w:hAnsi="Times New Roman" w:cs="Times New Roman"/>
        </w:rPr>
        <w:t>,</w:t>
      </w:r>
      <w:r w:rsidRPr="00970C35">
        <w:rPr>
          <w:rFonts w:ascii="Times New Roman" w:hAnsi="Times New Roman" w:cs="Times New Roman"/>
        </w:rPr>
        <w:t xml:space="preserve"> and bargain with the headquarters for higher budget</w:t>
      </w:r>
      <w:r w:rsidR="00115919" w:rsidRPr="00970C35">
        <w:rPr>
          <w:rFonts w:ascii="Times New Roman" w:hAnsi="Times New Roman" w:cs="Times New Roman"/>
        </w:rPr>
        <w:t>s</w:t>
      </w:r>
      <w:r w:rsidRPr="00970C35">
        <w:rPr>
          <w:rFonts w:ascii="Times New Roman" w:hAnsi="Times New Roman" w:cs="Times New Roman"/>
        </w:rPr>
        <w:t xml:space="preserve"> in countries with poor investor</w:t>
      </w:r>
      <w:r w:rsidR="00945B3D" w:rsidRPr="00970C35">
        <w:rPr>
          <w:rFonts w:ascii="Times New Roman" w:hAnsi="Times New Roman" w:cs="Times New Roman"/>
        </w:rPr>
        <w:t xml:space="preserve"> rights and protection</w:t>
      </w:r>
      <w:r w:rsidR="00BF7092" w:rsidRPr="00970C35">
        <w:rPr>
          <w:rFonts w:ascii="Times New Roman" w:hAnsi="Times New Roman" w:cs="Times New Roman"/>
        </w:rPr>
        <w:t xml:space="preserve"> since their budget will be more than what they need anyway</w:t>
      </w:r>
      <w:r w:rsidR="00945B3D" w:rsidRPr="00970C35">
        <w:rPr>
          <w:rFonts w:ascii="Times New Roman" w:hAnsi="Times New Roman" w:cs="Times New Roman"/>
        </w:rPr>
        <w:t xml:space="preserve">. We therefore </w:t>
      </w:r>
      <w:r w:rsidR="003E6CC0" w:rsidRPr="00970C35">
        <w:rPr>
          <w:rFonts w:ascii="Times New Roman" w:hAnsi="Times New Roman" w:cs="Times New Roman"/>
        </w:rPr>
        <w:t>empirically test</w:t>
      </w:r>
      <w:r w:rsidR="00945B3D" w:rsidRPr="00970C35">
        <w:rPr>
          <w:rFonts w:ascii="Times New Roman" w:hAnsi="Times New Roman" w:cs="Times New Roman"/>
        </w:rPr>
        <w:t xml:space="preserve"> how the </w:t>
      </w:r>
      <w:r w:rsidR="001B3F63" w:rsidRPr="00970C35">
        <w:rPr>
          <w:rFonts w:ascii="Times New Roman" w:hAnsi="Times New Roman" w:cs="Times New Roman"/>
        </w:rPr>
        <w:t xml:space="preserve">country-level </w:t>
      </w:r>
      <w:r w:rsidR="00BF7092" w:rsidRPr="00970C35">
        <w:rPr>
          <w:rFonts w:ascii="Times New Roman" w:hAnsi="Times New Roman" w:cs="Times New Roman"/>
        </w:rPr>
        <w:t>investor rights and protection variables</w:t>
      </w:r>
      <w:r w:rsidR="001B3F63" w:rsidRPr="00970C35">
        <w:rPr>
          <w:rFonts w:ascii="Times New Roman" w:hAnsi="Times New Roman" w:cs="Times New Roman"/>
        </w:rPr>
        <w:t xml:space="preserve"> are </w:t>
      </w:r>
      <w:r w:rsidR="00C35368" w:rsidRPr="00970C35">
        <w:rPr>
          <w:rFonts w:ascii="Times New Roman" w:hAnsi="Times New Roman" w:cs="Times New Roman"/>
        </w:rPr>
        <w:t>related</w:t>
      </w:r>
      <w:r w:rsidR="00945B3D" w:rsidRPr="00970C35">
        <w:rPr>
          <w:rFonts w:ascii="Times New Roman" w:hAnsi="Times New Roman" w:cs="Times New Roman"/>
        </w:rPr>
        <w:t xml:space="preserve"> with </w:t>
      </w:r>
      <w:r w:rsidR="001B3F63" w:rsidRPr="00970C35">
        <w:rPr>
          <w:rFonts w:ascii="Times New Roman" w:hAnsi="Times New Roman" w:cs="Times New Roman"/>
        </w:rPr>
        <w:t>the “fourth quarter effect”</w:t>
      </w:r>
      <w:r w:rsidR="00945B3D" w:rsidRPr="00970C35">
        <w:rPr>
          <w:rFonts w:ascii="Times New Roman" w:hAnsi="Times New Roman" w:cs="Times New Roman"/>
        </w:rPr>
        <w:t>.</w:t>
      </w:r>
      <w:r w:rsidR="001B3F63" w:rsidRPr="00970C35">
        <w:rPr>
          <w:rFonts w:ascii="Times New Roman" w:hAnsi="Times New Roman" w:cs="Times New Roman"/>
        </w:rPr>
        <w:t xml:space="preserve"> </w:t>
      </w:r>
      <w:r w:rsidR="00115919" w:rsidRPr="00970C35">
        <w:rPr>
          <w:rFonts w:ascii="Times New Roman" w:hAnsi="Times New Roman" w:cs="Times New Roman"/>
        </w:rPr>
        <w:t>Thus, we posit:</w:t>
      </w:r>
    </w:p>
    <w:p w:rsidR="00821BD4" w:rsidRPr="00970C35" w:rsidRDefault="00821BD4" w:rsidP="003A6B4D">
      <w:pPr>
        <w:spacing w:after="240" w:line="480" w:lineRule="auto"/>
        <w:jc w:val="both"/>
        <w:rPr>
          <w:rFonts w:ascii="Times New Roman" w:hAnsi="Times New Roman" w:cs="Times New Roman"/>
        </w:rPr>
      </w:pPr>
      <w:r w:rsidRPr="00970C35">
        <w:rPr>
          <w:rFonts w:ascii="Times New Roman" w:hAnsi="Times New Roman" w:cs="Times New Roman"/>
          <w:b/>
        </w:rPr>
        <w:t>H1</w:t>
      </w:r>
      <w:r w:rsidRPr="00970C35">
        <w:rPr>
          <w:rFonts w:ascii="Times New Roman" w:hAnsi="Times New Roman" w:cs="Times New Roman"/>
        </w:rPr>
        <w:t xml:space="preserve">: </w:t>
      </w:r>
      <w:r w:rsidRPr="00970C35">
        <w:rPr>
          <w:rFonts w:ascii="Times New Roman" w:hAnsi="Times New Roman" w:cs="Times New Roman"/>
          <w:i/>
        </w:rPr>
        <w:t xml:space="preserve">Firms in countries with </w:t>
      </w:r>
      <w:r w:rsidR="001B3F63" w:rsidRPr="00970C35">
        <w:rPr>
          <w:rFonts w:ascii="Times New Roman" w:hAnsi="Times New Roman" w:cs="Times New Roman"/>
          <w:i/>
        </w:rPr>
        <w:t>stronger</w:t>
      </w:r>
      <w:r w:rsidRPr="00970C35">
        <w:rPr>
          <w:rFonts w:ascii="Times New Roman" w:hAnsi="Times New Roman" w:cs="Times New Roman"/>
          <w:i/>
        </w:rPr>
        <w:t xml:space="preserve"> investor rights and protection</w:t>
      </w:r>
      <w:r w:rsidR="00115919" w:rsidRPr="00970C35">
        <w:rPr>
          <w:rFonts w:ascii="Times New Roman" w:hAnsi="Times New Roman" w:cs="Times New Roman"/>
          <w:i/>
        </w:rPr>
        <w:t>,</w:t>
      </w:r>
      <w:r w:rsidRPr="00970C35">
        <w:rPr>
          <w:rFonts w:ascii="Times New Roman" w:hAnsi="Times New Roman" w:cs="Times New Roman"/>
          <w:i/>
        </w:rPr>
        <w:t xml:space="preserve"> </w:t>
      </w:r>
      <w:r w:rsidR="001B3F63" w:rsidRPr="00970C35">
        <w:rPr>
          <w:rFonts w:ascii="Times New Roman" w:hAnsi="Times New Roman" w:cs="Times New Roman"/>
          <w:i/>
        </w:rPr>
        <w:t xml:space="preserve">on </w:t>
      </w:r>
      <w:r w:rsidRPr="00970C35">
        <w:rPr>
          <w:rFonts w:ascii="Times New Roman" w:hAnsi="Times New Roman" w:cs="Times New Roman"/>
          <w:i/>
        </w:rPr>
        <w:t>average</w:t>
      </w:r>
      <w:r w:rsidR="00115919" w:rsidRPr="00970C35">
        <w:rPr>
          <w:rFonts w:ascii="Times New Roman" w:hAnsi="Times New Roman" w:cs="Times New Roman"/>
          <w:i/>
        </w:rPr>
        <w:t>,</w:t>
      </w:r>
      <w:r w:rsidRPr="00970C35">
        <w:rPr>
          <w:rFonts w:ascii="Times New Roman" w:hAnsi="Times New Roman" w:cs="Times New Roman"/>
          <w:i/>
        </w:rPr>
        <w:t xml:space="preserve"> </w:t>
      </w:r>
      <w:r w:rsidR="006E757C" w:rsidRPr="00970C35">
        <w:rPr>
          <w:rFonts w:ascii="Times New Roman" w:hAnsi="Times New Roman" w:cs="Times New Roman"/>
          <w:i/>
        </w:rPr>
        <w:t>demonstrate less “fourth quarter effect”</w:t>
      </w:r>
      <w:r w:rsidRPr="00970C35">
        <w:rPr>
          <w:rFonts w:ascii="Times New Roman" w:hAnsi="Times New Roman" w:cs="Times New Roman"/>
          <w:i/>
        </w:rPr>
        <w:t>, and therefore less</w:t>
      </w:r>
      <w:r w:rsidR="001B3F63" w:rsidRPr="00970C35">
        <w:rPr>
          <w:rFonts w:ascii="Times New Roman" w:hAnsi="Times New Roman" w:cs="Times New Roman"/>
          <w:i/>
        </w:rPr>
        <w:t xml:space="preserve"> </w:t>
      </w:r>
      <w:r w:rsidR="00B116D6" w:rsidRPr="00970C35">
        <w:rPr>
          <w:rFonts w:ascii="Times New Roman" w:hAnsi="Times New Roman" w:cs="Times New Roman"/>
          <w:i/>
        </w:rPr>
        <w:t>overinvestment</w:t>
      </w:r>
      <w:r w:rsidRPr="00970C35">
        <w:rPr>
          <w:rFonts w:ascii="Times New Roman" w:hAnsi="Times New Roman" w:cs="Times New Roman"/>
          <w:i/>
        </w:rPr>
        <w:t>.</w:t>
      </w:r>
      <w:r w:rsidRPr="00970C35">
        <w:rPr>
          <w:rFonts w:ascii="Times New Roman" w:hAnsi="Times New Roman" w:cs="Times New Roman"/>
        </w:rPr>
        <w:t xml:space="preserve"> </w:t>
      </w:r>
    </w:p>
    <w:p w:rsidR="00821BD4" w:rsidRPr="00970C35" w:rsidRDefault="00BF7092" w:rsidP="00821BD4">
      <w:pPr>
        <w:spacing w:after="0" w:line="480" w:lineRule="auto"/>
        <w:jc w:val="both"/>
        <w:rPr>
          <w:rFonts w:ascii="Times New Roman" w:hAnsi="Times New Roman" w:cs="Times New Roman"/>
        </w:rPr>
      </w:pPr>
      <w:r w:rsidRPr="00970C35">
        <w:rPr>
          <w:rFonts w:ascii="Times New Roman" w:hAnsi="Times New Roman" w:cs="Times New Roman"/>
        </w:rPr>
        <w:t>2</w:t>
      </w:r>
      <w:r w:rsidR="00821BD4" w:rsidRPr="00970C35">
        <w:rPr>
          <w:rFonts w:ascii="Times New Roman" w:hAnsi="Times New Roman" w:cs="Times New Roman"/>
        </w:rPr>
        <w:t xml:space="preserve">.2. Financial </w:t>
      </w:r>
      <w:r w:rsidR="002D0C41" w:rsidRPr="00970C35">
        <w:rPr>
          <w:rFonts w:ascii="Times New Roman" w:hAnsi="Times New Roman" w:cs="Times New Roman"/>
        </w:rPr>
        <w:t>M</w:t>
      </w:r>
      <w:r w:rsidR="00821BD4" w:rsidRPr="00970C35">
        <w:rPr>
          <w:rFonts w:ascii="Times New Roman" w:hAnsi="Times New Roman" w:cs="Times New Roman"/>
        </w:rPr>
        <w:t xml:space="preserve">arket </w:t>
      </w:r>
      <w:r w:rsidR="002D0C41" w:rsidRPr="00970C35">
        <w:rPr>
          <w:rFonts w:ascii="Times New Roman" w:hAnsi="Times New Roman" w:cs="Times New Roman"/>
        </w:rPr>
        <w:t>D</w:t>
      </w:r>
      <w:r w:rsidR="00821BD4" w:rsidRPr="00970C35">
        <w:rPr>
          <w:rFonts w:ascii="Times New Roman" w:hAnsi="Times New Roman" w:cs="Times New Roman"/>
        </w:rPr>
        <w:t xml:space="preserve">evelopment and </w:t>
      </w:r>
      <w:r w:rsidR="002D0C41" w:rsidRPr="00970C35">
        <w:rPr>
          <w:rFonts w:ascii="Times New Roman" w:hAnsi="Times New Roman" w:cs="Times New Roman"/>
        </w:rPr>
        <w:t>A</w:t>
      </w:r>
      <w:r w:rsidR="00821BD4" w:rsidRPr="00970C35">
        <w:rPr>
          <w:rFonts w:ascii="Times New Roman" w:hAnsi="Times New Roman" w:cs="Times New Roman"/>
        </w:rPr>
        <w:t xml:space="preserve">ccess to </w:t>
      </w:r>
      <w:r w:rsidR="002D0C41" w:rsidRPr="00970C35">
        <w:rPr>
          <w:rFonts w:ascii="Times New Roman" w:hAnsi="Times New Roman" w:cs="Times New Roman"/>
        </w:rPr>
        <w:t>E</w:t>
      </w:r>
      <w:r w:rsidR="00821BD4" w:rsidRPr="00970C35">
        <w:rPr>
          <w:rFonts w:ascii="Times New Roman" w:hAnsi="Times New Roman" w:cs="Times New Roman"/>
        </w:rPr>
        <w:t xml:space="preserve">xternal </w:t>
      </w:r>
      <w:r w:rsidR="002D0C41" w:rsidRPr="00970C35">
        <w:rPr>
          <w:rFonts w:ascii="Times New Roman" w:hAnsi="Times New Roman" w:cs="Times New Roman"/>
        </w:rPr>
        <w:t>F</w:t>
      </w:r>
      <w:r w:rsidR="00821BD4" w:rsidRPr="00970C35">
        <w:rPr>
          <w:rFonts w:ascii="Times New Roman" w:hAnsi="Times New Roman" w:cs="Times New Roman"/>
        </w:rPr>
        <w:t>inance</w:t>
      </w:r>
    </w:p>
    <w:p w:rsidR="00821BD4" w:rsidRPr="00970C35" w:rsidRDefault="00115919" w:rsidP="00821BD4">
      <w:pPr>
        <w:spacing w:after="0" w:line="480" w:lineRule="auto"/>
        <w:jc w:val="both"/>
        <w:rPr>
          <w:rFonts w:ascii="Times New Roman" w:hAnsi="Times New Roman" w:cs="Times New Roman"/>
        </w:rPr>
      </w:pPr>
      <w:r w:rsidRPr="00970C35">
        <w:rPr>
          <w:rFonts w:ascii="Times New Roman" w:hAnsi="Times New Roman" w:cs="Times New Roman"/>
        </w:rPr>
        <w:t>P</w:t>
      </w:r>
      <w:r w:rsidR="00FE22CC" w:rsidRPr="00970C35">
        <w:rPr>
          <w:rFonts w:ascii="Times New Roman" w:hAnsi="Times New Roman" w:cs="Times New Roman"/>
        </w:rPr>
        <w:t>reviously</w:t>
      </w:r>
      <w:r w:rsidRPr="00970C35">
        <w:rPr>
          <w:rFonts w:ascii="Times New Roman" w:hAnsi="Times New Roman" w:cs="Times New Roman"/>
        </w:rPr>
        <w:t>, we mentioned</w:t>
      </w:r>
      <w:r w:rsidR="00FE22CC" w:rsidRPr="00970C35">
        <w:rPr>
          <w:rFonts w:ascii="Times New Roman" w:hAnsi="Times New Roman" w:cs="Times New Roman"/>
        </w:rPr>
        <w:t xml:space="preserve"> </w:t>
      </w:r>
      <w:r w:rsidR="00821BD4" w:rsidRPr="00970C35">
        <w:rPr>
          <w:rFonts w:ascii="Times New Roman" w:hAnsi="Times New Roman" w:cs="Times New Roman"/>
        </w:rPr>
        <w:t xml:space="preserve">that </w:t>
      </w:r>
      <w:r w:rsidR="00F628E3" w:rsidRPr="00970C35">
        <w:rPr>
          <w:rFonts w:ascii="Times New Roman" w:hAnsi="Times New Roman" w:cs="Times New Roman"/>
        </w:rPr>
        <w:t>researchers</w:t>
      </w:r>
      <w:r w:rsidR="00821BD4" w:rsidRPr="00970C35">
        <w:rPr>
          <w:rFonts w:ascii="Times New Roman" w:hAnsi="Times New Roman" w:cs="Times New Roman"/>
        </w:rPr>
        <w:t xml:space="preserve"> find that stronger minority investor rights help firms allocate capital more efficiently. Another </w:t>
      </w:r>
      <w:r w:rsidR="00C35368" w:rsidRPr="00970C35">
        <w:rPr>
          <w:rFonts w:ascii="Times New Roman" w:hAnsi="Times New Roman" w:cs="Times New Roman"/>
        </w:rPr>
        <w:t>dimension</w:t>
      </w:r>
      <w:r w:rsidR="00821BD4" w:rsidRPr="00970C35">
        <w:rPr>
          <w:rFonts w:ascii="Times New Roman" w:hAnsi="Times New Roman" w:cs="Times New Roman"/>
        </w:rPr>
        <w:t xml:space="preserve"> </w:t>
      </w:r>
      <w:r w:rsidR="00CC468D" w:rsidRPr="00970C35">
        <w:rPr>
          <w:rFonts w:ascii="Times New Roman" w:hAnsi="Times New Roman" w:cs="Times New Roman"/>
        </w:rPr>
        <w:t>of cross-country characteristics</w:t>
      </w:r>
      <w:r w:rsidR="00821BD4" w:rsidRPr="00970C35">
        <w:rPr>
          <w:rFonts w:ascii="Times New Roman" w:hAnsi="Times New Roman" w:cs="Times New Roman"/>
        </w:rPr>
        <w:t xml:space="preserve"> is </w:t>
      </w:r>
      <w:r w:rsidR="00C35368" w:rsidRPr="00970C35">
        <w:rPr>
          <w:rFonts w:ascii="Times New Roman" w:hAnsi="Times New Roman" w:cs="Times New Roman"/>
        </w:rPr>
        <w:t xml:space="preserve">financial market development. </w:t>
      </w:r>
      <w:r w:rsidR="00F628E3" w:rsidRPr="00970C35">
        <w:rPr>
          <w:rFonts w:ascii="Times New Roman" w:hAnsi="Times New Roman" w:cs="Times New Roman"/>
        </w:rPr>
        <w:t xml:space="preserve">In their </w:t>
      </w:r>
      <w:r w:rsidR="00B315BC" w:rsidRPr="00970C35">
        <w:rPr>
          <w:rFonts w:ascii="Times New Roman" w:hAnsi="Times New Roman" w:cs="Times New Roman"/>
        </w:rPr>
        <w:t>seminal</w:t>
      </w:r>
      <w:r w:rsidR="00F628E3" w:rsidRPr="00970C35">
        <w:rPr>
          <w:rFonts w:ascii="Times New Roman" w:hAnsi="Times New Roman" w:cs="Times New Roman"/>
        </w:rPr>
        <w:t xml:space="preserve"> paper, Rajan and Zingales (1998) find that industries that are more dependent on external finance have developed faster in countries with more developed financial market</w:t>
      </w:r>
      <w:r w:rsidR="00E122BF" w:rsidRPr="00970C35">
        <w:rPr>
          <w:rFonts w:ascii="Times New Roman" w:hAnsi="Times New Roman" w:cs="Times New Roman"/>
        </w:rPr>
        <w:t>s</w:t>
      </w:r>
      <w:r w:rsidR="00F628E3" w:rsidRPr="00970C35">
        <w:rPr>
          <w:rFonts w:ascii="Times New Roman" w:hAnsi="Times New Roman" w:cs="Times New Roman"/>
        </w:rPr>
        <w:t xml:space="preserve">. </w:t>
      </w:r>
      <w:r w:rsidR="00B315BC" w:rsidRPr="00970C35">
        <w:rPr>
          <w:rFonts w:ascii="Times New Roman" w:hAnsi="Times New Roman" w:cs="Times New Roman"/>
        </w:rPr>
        <w:t>It has since</w:t>
      </w:r>
      <w:r w:rsidR="00F628E3" w:rsidRPr="00970C35">
        <w:rPr>
          <w:rFonts w:ascii="Times New Roman" w:hAnsi="Times New Roman" w:cs="Times New Roman"/>
        </w:rPr>
        <w:t xml:space="preserve"> been documented that more developed financial markets are associated with enhanced real economy, such </w:t>
      </w:r>
      <w:r w:rsidR="00F628E3" w:rsidRPr="00970C35">
        <w:rPr>
          <w:rFonts w:ascii="Times New Roman" w:hAnsi="Times New Roman" w:cs="Times New Roman"/>
        </w:rPr>
        <w:lastRenderedPageBreak/>
        <w:t>as more efficient asset allocation</w:t>
      </w:r>
      <w:r w:rsidR="00E122BF" w:rsidRPr="00970C35">
        <w:rPr>
          <w:rFonts w:ascii="Times New Roman" w:hAnsi="Times New Roman" w:cs="Times New Roman"/>
        </w:rPr>
        <w:t>s</w:t>
      </w:r>
      <w:r w:rsidR="00F628E3" w:rsidRPr="00970C35">
        <w:rPr>
          <w:rFonts w:ascii="Times New Roman" w:hAnsi="Times New Roman" w:cs="Times New Roman"/>
        </w:rPr>
        <w:t xml:space="preserve"> (Wurgler, 2000)</w:t>
      </w:r>
      <w:r w:rsidR="00E122BF" w:rsidRPr="00970C35">
        <w:rPr>
          <w:rFonts w:ascii="Times New Roman" w:hAnsi="Times New Roman" w:cs="Times New Roman"/>
        </w:rPr>
        <w:t>,</w:t>
      </w:r>
      <w:r w:rsidR="00F628E3" w:rsidRPr="00970C35">
        <w:rPr>
          <w:rFonts w:ascii="Times New Roman" w:hAnsi="Times New Roman" w:cs="Times New Roman"/>
        </w:rPr>
        <w:t xml:space="preserve"> corporate investment</w:t>
      </w:r>
      <w:r w:rsidR="00E122BF" w:rsidRPr="00970C35">
        <w:rPr>
          <w:rFonts w:ascii="Times New Roman" w:hAnsi="Times New Roman" w:cs="Times New Roman"/>
        </w:rPr>
        <w:t>s</w:t>
      </w:r>
      <w:r w:rsidR="00F628E3" w:rsidRPr="00970C35">
        <w:rPr>
          <w:rFonts w:ascii="Times New Roman" w:hAnsi="Times New Roman" w:cs="Times New Roman"/>
        </w:rPr>
        <w:t xml:space="preserve"> (Brown, Martinsson, and Petersen, 2013), higher level</w:t>
      </w:r>
      <w:r w:rsidR="00E122BF" w:rsidRPr="00970C35">
        <w:rPr>
          <w:rFonts w:ascii="Times New Roman" w:hAnsi="Times New Roman" w:cs="Times New Roman"/>
        </w:rPr>
        <w:t>s</w:t>
      </w:r>
      <w:r w:rsidR="00F628E3" w:rsidRPr="00970C35">
        <w:rPr>
          <w:rFonts w:ascii="Times New Roman" w:hAnsi="Times New Roman" w:cs="Times New Roman"/>
        </w:rPr>
        <w:t xml:space="preserve"> of innovation (Hsu, Tian, and Xu, 2014), and stronger labor market</w:t>
      </w:r>
      <w:r w:rsidR="00E122BF" w:rsidRPr="00970C35">
        <w:rPr>
          <w:rFonts w:ascii="Times New Roman" w:hAnsi="Times New Roman" w:cs="Times New Roman"/>
        </w:rPr>
        <w:t>s</w:t>
      </w:r>
      <w:r w:rsidR="00F628E3" w:rsidRPr="00970C35">
        <w:rPr>
          <w:rFonts w:ascii="Times New Roman" w:hAnsi="Times New Roman" w:cs="Times New Roman"/>
        </w:rPr>
        <w:t xml:space="preserve"> (Benmelech, Bergman, and Seru, 2011). In particular, a</w:t>
      </w:r>
      <w:r w:rsidR="00821BD4" w:rsidRPr="00970C35">
        <w:rPr>
          <w:rFonts w:ascii="Times New Roman" w:hAnsi="Times New Roman" w:cs="Times New Roman"/>
        </w:rPr>
        <w:t xml:space="preserve">lthough financially developed countries do not seem to invest at a higher level (e.g. </w:t>
      </w:r>
      <w:r w:rsidR="00821BD4"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"10.1016/S0304-405X(00)00072-6", "ISBN" : "0304-405X", "ISSN" : "0304405X", "abstract" : "This paper evaluates the empirical relation between the level of financial intermediary development and (i) economic growth, (ii) total factor productivity growth, (iii) physical capital accumulation, and (iv) private savings rates. We use (a) a pure cross-country instrumental variable estimator to extract the exogenous component of financial intermediary development, and (b) a new panel technique that controls for biases associated with simultaneity and unobserved country-specific effects. After controlling for these potential biases, we find that (1) financial intermediaries exert a large, positive impact on total factor productivity growth, which feeds through to overall GDP growth and (2) the long-run links between financial intermediary development and both physical capital growth and private savings rates are tenuous.", "author" : [ { "dropping-particle" : "", "family" : "Beck", "given" : "Thorsten", "non-dropping-particle" : "", "parse-names" : false, "suffix" : "" }, { "dropping-particle" : "", "family" : "Levine", "given" : "Ross", "non-dropping-particle" : "", "parse-names" : false, "suffix" : "" }, { "dropping-particle" : "", "family" : "Loayza", "given" : "Norman", "non-dropping-particle" : "", "parse-names" : false, "suffix" : "" } ], "container-title" : "Journal of Financial Economics", "id" : "ITEM-1", "issue" : "1-2", "issued" : { "date-parts" : [ [ "2000" ] ] }, "page" : "261-300", "title" : "Finance and the sources of growth", "type" : "article-journal", "volume" : "58" }, "uris" : [ "http://www.mendeley.com/documents/?uuid=9e7b2cb1-d589-429b-bc45-1d975f34e744" ] } ], "mendeley" : { "formattedCitation" : "Beck, Levine, and Loayza (2000)", "manualFormatting" : "Beck, Levine, and Loayza, 2000", "plainTextFormattedCitation" : "Beck, Levine, and Loayza (2000)", "previouslyFormattedCitation" : "Beck, Levine, and Loayza (2000)" }, "properties" : { "noteIndex" : 0 }, "schema" : "https://github.com/citation-style-language/schema/raw/master/csl-citation.json" }</w:instrText>
      </w:r>
      <w:r w:rsidR="00821BD4" w:rsidRPr="00970C35">
        <w:rPr>
          <w:rFonts w:ascii="Times New Roman" w:hAnsi="Times New Roman" w:cs="Times New Roman"/>
        </w:rPr>
        <w:fldChar w:fldCharType="separate"/>
      </w:r>
      <w:r w:rsidR="00821BD4" w:rsidRPr="00970C35">
        <w:rPr>
          <w:rFonts w:ascii="Times New Roman" w:hAnsi="Times New Roman" w:cs="Times New Roman"/>
          <w:noProof/>
        </w:rPr>
        <w:t>Beck, Levine, and Loayza, 2000</w:t>
      </w:r>
      <w:r w:rsidR="00821BD4" w:rsidRPr="00970C35">
        <w:rPr>
          <w:rFonts w:ascii="Times New Roman" w:hAnsi="Times New Roman" w:cs="Times New Roman"/>
        </w:rPr>
        <w:fldChar w:fldCharType="end"/>
      </w:r>
      <w:r w:rsidR="00821BD4" w:rsidRPr="00970C35">
        <w:rPr>
          <w:rFonts w:ascii="Times New Roman" w:hAnsi="Times New Roman" w:cs="Times New Roman"/>
        </w:rPr>
        <w:t xml:space="preserve">), </w:t>
      </w:r>
      <w:r w:rsidR="00F628E3"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"10.1016/S0304-405X(00)00070-2", "ISBN" : "0304-405X", "ISSN" : "0304405X", "PMID" : "239", "abstract" : "Financial markets appear to improve the allocation of capital. Across 65 countries, those with developed financial sectors increase investment more in their growing industries, and decrease investment more in their declining industries, than those with undeveloped financial sectors. The efficiency of capital allocation is negatively correlated with the extent of state ownership in the economy, positively correlated with the amount of firm-specific information in domestic stock returns, and positively correlated with the legal protection of minority investors. In particular, strong minority investor rights appear to curb overinvestment in declining industries.", "author" : [ { "dropping-particle" : "", "family" : "Wurgler", "given" : "Jeffrey", "non-dropping-particle" : "", "parse-names" : false, "suffix" : "" } ], "container-title" : "Journal of Financial Economics", "id" : "ITEM-1", "issue" : "1-2", "issued" : { "date-parts" : [ [ "2000" ] ] }, "page" : "187-214", "title" : "Financial markets and the allocation of capital", "type" : "article-journal", "volume" : "58" }, "uris" : [ "http://www.mendeley.com/documents/?uuid=aaf5c64b-6485-464e-89f0-e865a5846c5a" ] } ], "mendeley" : { "formattedCitation" : "Wurgler (2000)", "plainTextFormattedCitation" : "Wurgler (2000)", "previouslyFormattedCitation" : "Wurgler (2000)" }, "properties" : { "noteIndex" : 0 }, "schema" : "https://github.com/citation-style-language/schema/raw/master/csl-citation.json" }</w:instrText>
      </w:r>
      <w:r w:rsidR="00F628E3" w:rsidRPr="00970C35">
        <w:rPr>
          <w:rFonts w:ascii="Times New Roman" w:hAnsi="Times New Roman" w:cs="Times New Roman"/>
        </w:rPr>
        <w:fldChar w:fldCharType="separate"/>
      </w:r>
      <w:r w:rsidR="00C462AD" w:rsidRPr="00970C35">
        <w:rPr>
          <w:rFonts w:ascii="Times New Roman" w:hAnsi="Times New Roman" w:cs="Times New Roman"/>
          <w:noProof/>
        </w:rPr>
        <w:t>Wurgler (2000)</w:t>
      </w:r>
      <w:r w:rsidR="00F628E3" w:rsidRPr="00970C35">
        <w:rPr>
          <w:rFonts w:ascii="Times New Roman" w:hAnsi="Times New Roman" w:cs="Times New Roman"/>
        </w:rPr>
        <w:fldChar w:fldCharType="end"/>
      </w:r>
      <w:r w:rsidR="00F628E3" w:rsidRPr="00970C35">
        <w:rPr>
          <w:rFonts w:ascii="Times New Roman" w:hAnsi="Times New Roman" w:cs="Times New Roman"/>
        </w:rPr>
        <w:t xml:space="preserve"> </w:t>
      </w:r>
      <w:r w:rsidR="00C35368" w:rsidRPr="00970C35">
        <w:rPr>
          <w:rFonts w:ascii="Times New Roman" w:hAnsi="Times New Roman" w:cs="Times New Roman"/>
        </w:rPr>
        <w:t xml:space="preserve">finds that </w:t>
      </w:r>
      <w:r w:rsidR="001B3F63" w:rsidRPr="00970C35">
        <w:rPr>
          <w:rFonts w:ascii="Times New Roman" w:hAnsi="Times New Roman" w:cs="Times New Roman"/>
        </w:rPr>
        <w:t xml:space="preserve">more </w:t>
      </w:r>
      <w:r w:rsidR="00821BD4" w:rsidRPr="00970C35">
        <w:rPr>
          <w:rFonts w:ascii="Times New Roman" w:hAnsi="Times New Roman" w:cs="Times New Roman"/>
        </w:rPr>
        <w:t xml:space="preserve">developed financial markets are associated </w:t>
      </w:r>
      <w:r w:rsidR="00A9000E" w:rsidRPr="00970C35">
        <w:rPr>
          <w:rFonts w:ascii="Times New Roman" w:hAnsi="Times New Roman" w:cs="Times New Roman"/>
        </w:rPr>
        <w:t>with more efficient allocation</w:t>
      </w:r>
      <w:r w:rsidR="00E122BF" w:rsidRPr="00970C35">
        <w:rPr>
          <w:rFonts w:ascii="Times New Roman" w:hAnsi="Times New Roman" w:cs="Times New Roman"/>
        </w:rPr>
        <w:t>s</w:t>
      </w:r>
      <w:r w:rsidR="00821BD4" w:rsidRPr="00970C35">
        <w:rPr>
          <w:rFonts w:ascii="Times New Roman" w:hAnsi="Times New Roman" w:cs="Times New Roman"/>
        </w:rPr>
        <w:t xml:space="preserve"> of capital</w:t>
      </w:r>
      <w:r w:rsidR="001B3F63" w:rsidRPr="00970C35">
        <w:rPr>
          <w:rFonts w:ascii="Times New Roman" w:hAnsi="Times New Roman" w:cs="Times New Roman"/>
        </w:rPr>
        <w:t>,</w:t>
      </w:r>
      <w:r w:rsidR="00FE22CC" w:rsidRPr="00970C35">
        <w:rPr>
          <w:rFonts w:ascii="Times New Roman" w:hAnsi="Times New Roman" w:cs="Times New Roman"/>
        </w:rPr>
        <w:t xml:space="preserve"> </w:t>
      </w:r>
      <w:r w:rsidR="00BF7092" w:rsidRPr="00970C35">
        <w:rPr>
          <w:rFonts w:ascii="Times New Roman" w:hAnsi="Times New Roman" w:cs="Times New Roman"/>
        </w:rPr>
        <w:t>indicating</w:t>
      </w:r>
      <w:r w:rsidR="00FE22CC" w:rsidRPr="00970C35">
        <w:rPr>
          <w:rFonts w:ascii="Times New Roman" w:hAnsi="Times New Roman" w:cs="Times New Roman"/>
        </w:rPr>
        <w:t xml:space="preserve"> that</w:t>
      </w:r>
      <w:r w:rsidR="00B315BC" w:rsidRPr="00970C35">
        <w:rPr>
          <w:rFonts w:ascii="Times New Roman" w:hAnsi="Times New Roman" w:cs="Times New Roman"/>
        </w:rPr>
        <w:t xml:space="preserve"> it is easier (more difficult) for</w:t>
      </w:r>
      <w:r w:rsidR="00FE22CC" w:rsidRPr="00970C35">
        <w:rPr>
          <w:rFonts w:ascii="Times New Roman" w:hAnsi="Times New Roman" w:cs="Times New Roman"/>
        </w:rPr>
        <w:t xml:space="preserve"> firms and industries with higher (lower) investment opportunities to </w:t>
      </w:r>
      <w:r w:rsidR="00CF0FF8" w:rsidRPr="00970C35">
        <w:rPr>
          <w:rFonts w:ascii="Times New Roman" w:hAnsi="Times New Roman" w:cs="Times New Roman"/>
        </w:rPr>
        <w:t xml:space="preserve">access </w:t>
      </w:r>
      <w:r w:rsidR="00FE22CC" w:rsidRPr="00970C35">
        <w:rPr>
          <w:rFonts w:ascii="Times New Roman" w:hAnsi="Times New Roman" w:cs="Times New Roman"/>
        </w:rPr>
        <w:t>external finance</w:t>
      </w:r>
      <w:r w:rsidR="00821BD4" w:rsidRPr="00970C35">
        <w:rPr>
          <w:rFonts w:ascii="Times New Roman" w:hAnsi="Times New Roman" w:cs="Times New Roman"/>
        </w:rPr>
        <w:t>.</w:t>
      </w:r>
    </w:p>
    <w:p w:rsidR="00821BD4" w:rsidRPr="00970C35" w:rsidRDefault="00821BD4" w:rsidP="00821BD4">
      <w:pPr>
        <w:spacing w:after="0" w:line="480" w:lineRule="auto"/>
        <w:ind w:firstLine="288"/>
        <w:jc w:val="both"/>
        <w:rPr>
          <w:rFonts w:ascii="Times New Roman" w:hAnsi="Times New Roman" w:cs="Times New Roman"/>
        </w:rPr>
      </w:pPr>
      <w:r w:rsidRPr="00970C35">
        <w:rPr>
          <w:rFonts w:ascii="Times New Roman" w:hAnsi="Times New Roman" w:cs="Times New Roman"/>
        </w:rPr>
        <w:t xml:space="preserve">Intuitively, </w:t>
      </w:r>
      <w:r w:rsidR="00FE22CC" w:rsidRPr="00970C35">
        <w:rPr>
          <w:rFonts w:ascii="Times New Roman" w:hAnsi="Times New Roman" w:cs="Times New Roman"/>
          <w:i/>
        </w:rPr>
        <w:t>ceteris paribus</w:t>
      </w:r>
      <w:r w:rsidR="00FE22CC" w:rsidRPr="00970C35">
        <w:rPr>
          <w:rFonts w:ascii="Times New Roman" w:hAnsi="Times New Roman" w:cs="Times New Roman"/>
        </w:rPr>
        <w:t>, more efficient allocation</w:t>
      </w:r>
      <w:r w:rsidR="00E122BF" w:rsidRPr="00970C35">
        <w:rPr>
          <w:rFonts w:ascii="Times New Roman" w:hAnsi="Times New Roman" w:cs="Times New Roman"/>
        </w:rPr>
        <w:t>s</w:t>
      </w:r>
      <w:r w:rsidR="00FE22CC" w:rsidRPr="00970C35">
        <w:rPr>
          <w:rFonts w:ascii="Times New Roman" w:hAnsi="Times New Roman" w:cs="Times New Roman"/>
        </w:rPr>
        <w:t xml:space="preserve"> of external finance should also lead to more efficient </w:t>
      </w:r>
      <w:r w:rsidR="007F6B7E" w:rsidRPr="00970C35">
        <w:rPr>
          <w:rFonts w:ascii="Times New Roman" w:hAnsi="Times New Roman" w:cs="Times New Roman"/>
        </w:rPr>
        <w:t>budget allocation</w:t>
      </w:r>
      <w:r w:rsidR="00E122BF" w:rsidRPr="00970C35">
        <w:rPr>
          <w:rFonts w:ascii="Times New Roman" w:hAnsi="Times New Roman" w:cs="Times New Roman"/>
        </w:rPr>
        <w:t>s</w:t>
      </w:r>
      <w:r w:rsidR="007F6B7E" w:rsidRPr="00970C35">
        <w:rPr>
          <w:rFonts w:ascii="Times New Roman" w:hAnsi="Times New Roman" w:cs="Times New Roman"/>
        </w:rPr>
        <w:t xml:space="preserve"> within the firm</w:t>
      </w:r>
      <w:r w:rsidR="00E122BF" w:rsidRPr="00970C35">
        <w:rPr>
          <w:rFonts w:ascii="Times New Roman" w:hAnsi="Times New Roman" w:cs="Times New Roman"/>
        </w:rPr>
        <w:t>.</w:t>
      </w:r>
      <w:r w:rsidR="00FE22CC" w:rsidRPr="00970C35">
        <w:rPr>
          <w:rFonts w:ascii="Times New Roman" w:hAnsi="Times New Roman" w:cs="Times New Roman"/>
        </w:rPr>
        <w:t xml:space="preserve"> </w:t>
      </w:r>
      <w:r w:rsidR="00E122BF" w:rsidRPr="00970C35">
        <w:rPr>
          <w:rFonts w:ascii="Times New Roman" w:hAnsi="Times New Roman" w:cs="Times New Roman"/>
        </w:rPr>
        <w:t>W</w:t>
      </w:r>
      <w:r w:rsidR="00EC7578" w:rsidRPr="00970C35">
        <w:rPr>
          <w:rFonts w:ascii="Times New Roman" w:hAnsi="Times New Roman" w:cs="Times New Roman"/>
        </w:rPr>
        <w:t>ith more efficient capital allocation</w:t>
      </w:r>
      <w:r w:rsidR="00E122BF" w:rsidRPr="00970C35">
        <w:rPr>
          <w:rFonts w:ascii="Times New Roman" w:hAnsi="Times New Roman" w:cs="Times New Roman"/>
        </w:rPr>
        <w:t>s</w:t>
      </w:r>
      <w:r w:rsidR="00EC7578" w:rsidRPr="00970C35">
        <w:rPr>
          <w:rFonts w:ascii="Times New Roman" w:hAnsi="Times New Roman" w:cs="Times New Roman"/>
        </w:rPr>
        <w:t>,</w:t>
      </w:r>
      <w:r w:rsidR="00B315BC" w:rsidRPr="00970C35">
        <w:rPr>
          <w:rFonts w:ascii="Times New Roman" w:hAnsi="Times New Roman" w:cs="Times New Roman"/>
        </w:rPr>
        <w:t xml:space="preserve"> </w:t>
      </w:r>
      <w:r w:rsidR="00CF0FF8" w:rsidRPr="00970C35">
        <w:rPr>
          <w:rFonts w:ascii="Times New Roman" w:hAnsi="Times New Roman" w:cs="Times New Roman"/>
        </w:rPr>
        <w:t>firms that have less investment opportunities are less likely to have capital</w:t>
      </w:r>
      <w:r w:rsidR="00E122BF" w:rsidRPr="00970C35">
        <w:rPr>
          <w:rFonts w:ascii="Times New Roman" w:hAnsi="Times New Roman" w:cs="Times New Roman"/>
        </w:rPr>
        <w:t xml:space="preserve"> to spend on wasteful projects</w:t>
      </w:r>
      <w:r w:rsidR="00CF0FF8" w:rsidRPr="00970C35">
        <w:rPr>
          <w:rFonts w:ascii="Times New Roman" w:hAnsi="Times New Roman" w:cs="Times New Roman"/>
        </w:rPr>
        <w:t xml:space="preserve">. </w:t>
      </w:r>
      <w:r w:rsidR="00427C51" w:rsidRPr="00970C35">
        <w:rPr>
          <w:rFonts w:ascii="Times New Roman" w:hAnsi="Times New Roman" w:cs="Times New Roman"/>
        </w:rPr>
        <w:t xml:space="preserve">Some empirical evidence is consistent with this conjecture. For example, </w:t>
      </w:r>
      <w:r w:rsidR="00427C51"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"author" : [ { "dropping-particle" : "", "family" : "Laeven", "given" : "Luc", "non-dropping-particle" : "", "parse-names" : false, "suffix" : "" } ], "container-title" : "Financial Management", "id" : "ITEM-1", "issue" : "1", "issued" : { "date-parts" : [ [ "2003" ] ] }, "page" : "5-34", "title" : "Does Financial Liberalization Reduce Financing Constraints?", "type" : "article-journal", "volume" : "32" }, "uris" : [ "http://www.mendeley.com/documents/?uuid=bd73c04c-39eb-4914-a51f-c2bf3e2be0cd" ] } ], "mendeley" : { "formattedCitation" : "Laeven (2003)", "plainTextFormattedCitation" : "Laeven (2003)", "previouslyFormattedCitation" : "Laeven (2003)" }, "properties" : { "noteIndex" : 0 }, "schema" : "https://github.com/citation-style-language/schema/raw/master/csl-citation.json" }</w:instrText>
      </w:r>
      <w:r w:rsidR="00427C51" w:rsidRPr="00970C35">
        <w:rPr>
          <w:rFonts w:ascii="Times New Roman" w:hAnsi="Times New Roman" w:cs="Times New Roman"/>
        </w:rPr>
        <w:fldChar w:fldCharType="separate"/>
      </w:r>
      <w:r w:rsidR="00C462AD" w:rsidRPr="00970C35">
        <w:rPr>
          <w:rFonts w:ascii="Times New Roman" w:hAnsi="Times New Roman" w:cs="Times New Roman"/>
          <w:noProof/>
        </w:rPr>
        <w:t>Laeven (2003)</w:t>
      </w:r>
      <w:r w:rsidR="00427C51" w:rsidRPr="00970C35">
        <w:rPr>
          <w:rFonts w:ascii="Times New Roman" w:hAnsi="Times New Roman" w:cs="Times New Roman"/>
        </w:rPr>
        <w:fldChar w:fldCharType="end"/>
      </w:r>
      <w:r w:rsidR="00570151" w:rsidRPr="00970C35">
        <w:rPr>
          <w:rFonts w:ascii="Times New Roman" w:hAnsi="Times New Roman" w:cs="Times New Roman"/>
        </w:rPr>
        <w:t>,</w:t>
      </w:r>
      <w:r w:rsidR="00427C51" w:rsidRPr="00970C35">
        <w:rPr>
          <w:rFonts w:ascii="Times New Roman" w:hAnsi="Times New Roman" w:cs="Times New Roman"/>
        </w:rPr>
        <w:t xml:space="preserve"> </w:t>
      </w:r>
      <w:r w:rsidR="00427C51"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"10.1093/rfs/hhg013", "ISBN" : "0893-9454", "ISSN" : "1465-7368", "abstract" : "This article provides evidence that financial development impacts growth by reducing financing constraints that would otherwise distort efficient allocation of investment. The financing constraints are inferred from the investment Euler equation by assuming that the firm's stochastic discount factor is a function of the firm's financial position (specifically, the stock of liquid assets). The magnitude of the changes in the cost of capital is twice as large in a country with a low level of financial development as in a country with an average level of financial development. The size effect, business cycles, and legal environment effects are also considered.", "author" : [ { "dropping-particle" : "", "family" : "Love", "given" : "I.", "non-dropping-particle" : "", "parse-names" : false, "suffix" : "" } ], "container-title" : "Review of Financial Studies", "id" : "ITEM-1", "issue" : "3", "issued" : { "date-parts" : [ [ "2003" ] ] }, "page" : "765-791", "title" : "Financial Development and Financing Constraints: International Evidence from the Structural Investment Model", "type" : "article-journal", "volume" : "16" }, "uris" : [ "http://www.mendeley.com/documents/?uuid=09da9d6a-bd23-4ff3-8388-f0ef6a4fd635" ] } ], "mendeley" : { "formattedCitation" : "Love (2003)", "plainTextFormattedCitation" : "Love (2003)", "previouslyFormattedCitation" : "Love (2003)" }, "properties" : { "noteIndex" : 0 }, "schema" : "https://github.com/citation-style-language/schema/raw/master/csl-citation.json" }</w:instrText>
      </w:r>
      <w:r w:rsidR="00427C51" w:rsidRPr="00970C35">
        <w:rPr>
          <w:rFonts w:ascii="Times New Roman" w:hAnsi="Times New Roman" w:cs="Times New Roman"/>
        </w:rPr>
        <w:fldChar w:fldCharType="separate"/>
      </w:r>
      <w:r w:rsidR="00C462AD" w:rsidRPr="00970C35">
        <w:rPr>
          <w:rFonts w:ascii="Times New Roman" w:hAnsi="Times New Roman" w:cs="Times New Roman"/>
          <w:noProof/>
        </w:rPr>
        <w:t>Love (2003)</w:t>
      </w:r>
      <w:r w:rsidR="00427C51" w:rsidRPr="00970C35">
        <w:rPr>
          <w:rFonts w:ascii="Times New Roman" w:hAnsi="Times New Roman" w:cs="Times New Roman"/>
        </w:rPr>
        <w:fldChar w:fldCharType="end"/>
      </w:r>
      <w:r w:rsidR="00570151" w:rsidRPr="00970C35">
        <w:rPr>
          <w:rFonts w:ascii="Times New Roman" w:hAnsi="Times New Roman" w:cs="Times New Roman"/>
        </w:rPr>
        <w:t xml:space="preserve">, and </w:t>
      </w:r>
      <w:r w:rsidR="00570151"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"10.1017/S0022109000002647", "ISBN" : "0022-1090", "ISSN" : "0022-1090", "abstract" : "Prior research posits that market imperfections and the lack of institutions that protect investor interests create a divergence between the cost of internal and external funds, thereby constraining firms' ability to fund investment projects through external financing. Financial constraints force firms to manage their cash flows to finance potentially profitable projects. A related stream of research documents that financial constraints due to costly external financing are more pronounced in underdeveloped financial markets. We examine the influence of financial development on the demand for liquidity by focusing on how financial development affects the sensitivity of firms' cash holdings to their cash flows. Using firm-level data for 35 countries covering about 12,782 firms for the years 1994-2002, we find the sensitivity of cash holdings to cash flows decreases with financial development. We also consider additional implications of firms' cash flow sensitivity of cash with respect to firm size and business cycles. Overall, we provide new cross-country evidence of the role of financial development on financial constraints.", "author" : [ { "dropping-particle" : "", "family" : "Khurana", "given" : "Inder K.", "non-dropping-particle" : "", "parse-names" : false, "suffix" : "" }, { "dropping-particle" : "", "family" : "Martin", "given" : "Xiumin", "non-dropping-particle" : "", "parse-names" : false, "suffix" : "" }, { "dropping-particle" : "", "family" : "Pereira", "given" : "Raynolde", "non-dropping-particle" : "", "parse-names" : false, "suffix" : "" } ], "container-title" : "Journal of Financial and Quantitative Analysis", "id" : "ITEM-1", "issue" : "04", "issued" : { "date-parts" : [ [ "2006" ] ] }, "page" : "787", "title" : "Financial Development and the Cash Flow Sensitivity of Cash", "type" : "article-journal", "volume" : "41" }, "uris" : [ "http://www.mendeley.com/documents/?uuid=2b56e152-00d7-4d0c-9c17-9051ae59e77f" ] } ], "mendeley" : { "formattedCitation" : "Khurana, Martin, and Pereira (2006)", "plainTextFormattedCitation" : "Khurana, Martin, and Pereira (2006)", "previouslyFormattedCitation" : "Khurana, Martin, and Pereira (2006)" }, "properties" : { "noteIndex" : 0 }, "schema" : "https://github.com/citation-style-language/schema/raw/master/csl-citation.json" }</w:instrText>
      </w:r>
      <w:r w:rsidR="00570151" w:rsidRPr="00970C35">
        <w:rPr>
          <w:rFonts w:ascii="Times New Roman" w:hAnsi="Times New Roman" w:cs="Times New Roman"/>
        </w:rPr>
        <w:fldChar w:fldCharType="separate"/>
      </w:r>
      <w:r w:rsidR="00C462AD" w:rsidRPr="00970C35">
        <w:rPr>
          <w:rFonts w:ascii="Times New Roman" w:hAnsi="Times New Roman" w:cs="Times New Roman"/>
          <w:noProof/>
        </w:rPr>
        <w:t>Khurana, Martin, and Pereira (2006)</w:t>
      </w:r>
      <w:r w:rsidR="00570151" w:rsidRPr="00970C35">
        <w:rPr>
          <w:rFonts w:ascii="Times New Roman" w:hAnsi="Times New Roman" w:cs="Times New Roman"/>
        </w:rPr>
        <w:fldChar w:fldCharType="end"/>
      </w:r>
      <w:r w:rsidR="00427C51" w:rsidRPr="00970C35">
        <w:rPr>
          <w:rFonts w:ascii="Times New Roman" w:hAnsi="Times New Roman" w:cs="Times New Roman"/>
        </w:rPr>
        <w:t xml:space="preserve"> show that in countries with less developed financial market</w:t>
      </w:r>
      <w:r w:rsidR="00E122BF" w:rsidRPr="00970C35">
        <w:rPr>
          <w:rFonts w:ascii="Times New Roman" w:hAnsi="Times New Roman" w:cs="Times New Roman"/>
        </w:rPr>
        <w:t>s</w:t>
      </w:r>
      <w:r w:rsidR="00427C51" w:rsidRPr="00970C35">
        <w:rPr>
          <w:rFonts w:ascii="Times New Roman" w:hAnsi="Times New Roman" w:cs="Times New Roman"/>
        </w:rPr>
        <w:t xml:space="preserve">, </w:t>
      </w:r>
      <w:r w:rsidR="007F7EFE" w:rsidRPr="00970C35">
        <w:rPr>
          <w:rFonts w:ascii="Times New Roman" w:hAnsi="Times New Roman" w:cs="Times New Roman"/>
        </w:rPr>
        <w:t>larger firms</w:t>
      </w:r>
      <w:r w:rsidR="00454A7C" w:rsidRPr="00970C35">
        <w:rPr>
          <w:rFonts w:ascii="Times New Roman" w:hAnsi="Times New Roman" w:cs="Times New Roman"/>
        </w:rPr>
        <w:t xml:space="preserve"> are less constrained financially</w:t>
      </w:r>
      <w:r w:rsidR="00570151" w:rsidRPr="00970C35">
        <w:rPr>
          <w:rFonts w:ascii="Times New Roman" w:hAnsi="Times New Roman" w:cs="Times New Roman"/>
        </w:rPr>
        <w:t xml:space="preserve"> and thus have more slack to engage in inefficient investment</w:t>
      </w:r>
      <w:r w:rsidR="00E122BF" w:rsidRPr="00970C35">
        <w:rPr>
          <w:rFonts w:ascii="Times New Roman" w:hAnsi="Times New Roman" w:cs="Times New Roman"/>
        </w:rPr>
        <w:t>s</w:t>
      </w:r>
      <w:r w:rsidR="00454A7C" w:rsidRPr="00970C35">
        <w:rPr>
          <w:rFonts w:ascii="Times New Roman" w:hAnsi="Times New Roman" w:cs="Times New Roman"/>
        </w:rPr>
        <w:t>.</w:t>
      </w:r>
      <w:r w:rsidR="00427C51" w:rsidRPr="00970C35">
        <w:rPr>
          <w:rFonts w:ascii="Times New Roman" w:hAnsi="Times New Roman" w:cs="Times New Roman"/>
        </w:rPr>
        <w:t xml:space="preserve"> </w:t>
      </w:r>
      <w:r w:rsidR="00454A7C" w:rsidRPr="00970C35">
        <w:rPr>
          <w:rFonts w:ascii="Times New Roman" w:hAnsi="Times New Roman" w:cs="Times New Roman"/>
        </w:rPr>
        <w:t>Th</w:t>
      </w:r>
      <w:r w:rsidR="00570151" w:rsidRPr="00970C35">
        <w:rPr>
          <w:rFonts w:ascii="Times New Roman" w:hAnsi="Times New Roman" w:cs="Times New Roman"/>
        </w:rPr>
        <w:t>erefore</w:t>
      </w:r>
      <w:r w:rsidR="00FE22CC" w:rsidRPr="00970C35">
        <w:rPr>
          <w:rFonts w:ascii="Times New Roman" w:hAnsi="Times New Roman" w:cs="Times New Roman"/>
        </w:rPr>
        <w:t xml:space="preserve">, </w:t>
      </w:r>
      <w:r w:rsidR="007F6B7E" w:rsidRPr="00970C35">
        <w:rPr>
          <w:rFonts w:ascii="Times New Roman" w:hAnsi="Times New Roman" w:cs="Times New Roman"/>
        </w:rPr>
        <w:t>since</w:t>
      </w:r>
      <w:r w:rsidR="00CC468D" w:rsidRPr="00970C35">
        <w:rPr>
          <w:rFonts w:ascii="Times New Roman" w:hAnsi="Times New Roman" w:cs="Times New Roman"/>
        </w:rPr>
        <w:t xml:space="preserve"> financial market development promotes</w:t>
      </w:r>
      <w:r w:rsidR="007F6B7E" w:rsidRPr="00970C35">
        <w:rPr>
          <w:rFonts w:ascii="Times New Roman" w:hAnsi="Times New Roman" w:cs="Times New Roman"/>
        </w:rPr>
        <w:t xml:space="preserve"> efficient budget allocation</w:t>
      </w:r>
      <w:r w:rsidR="00E122BF" w:rsidRPr="00970C35">
        <w:rPr>
          <w:rFonts w:ascii="Times New Roman" w:hAnsi="Times New Roman" w:cs="Times New Roman"/>
        </w:rPr>
        <w:t>s</w:t>
      </w:r>
      <w:r w:rsidR="007F6B7E" w:rsidRPr="00970C35">
        <w:rPr>
          <w:rFonts w:ascii="Times New Roman" w:hAnsi="Times New Roman" w:cs="Times New Roman"/>
        </w:rPr>
        <w:t xml:space="preserve"> across firm</w:t>
      </w:r>
      <w:r w:rsidR="00CC468D" w:rsidRPr="00970C35">
        <w:rPr>
          <w:rFonts w:ascii="Times New Roman" w:hAnsi="Times New Roman" w:cs="Times New Roman"/>
        </w:rPr>
        <w:t>s and thus mitigates agency conflicts between firm CEOs and outside investors,</w:t>
      </w:r>
      <w:r w:rsidR="007F6B7E" w:rsidRPr="00970C35">
        <w:rPr>
          <w:rFonts w:ascii="Times New Roman" w:hAnsi="Times New Roman" w:cs="Times New Roman"/>
        </w:rPr>
        <w:t xml:space="preserve"> </w:t>
      </w:r>
      <w:r w:rsidR="00FE22CC" w:rsidRPr="00970C35">
        <w:rPr>
          <w:rFonts w:ascii="Times New Roman" w:hAnsi="Times New Roman" w:cs="Times New Roman"/>
        </w:rPr>
        <w:t xml:space="preserve">we expect to find a negative relation between efficiency of capital allocation at </w:t>
      </w:r>
      <w:r w:rsidR="00E122BF" w:rsidRPr="00970C35">
        <w:rPr>
          <w:rFonts w:ascii="Times New Roman" w:hAnsi="Times New Roman" w:cs="Times New Roman"/>
        </w:rPr>
        <w:t xml:space="preserve">the </w:t>
      </w:r>
      <w:r w:rsidR="00FE22CC" w:rsidRPr="00970C35">
        <w:rPr>
          <w:rFonts w:ascii="Times New Roman" w:hAnsi="Times New Roman" w:cs="Times New Roman"/>
        </w:rPr>
        <w:t xml:space="preserve">country level (or financial market development) and severity of the </w:t>
      </w:r>
      <w:r w:rsidR="001B3F63" w:rsidRPr="00970C35">
        <w:rPr>
          <w:rFonts w:ascii="Times New Roman" w:hAnsi="Times New Roman" w:cs="Times New Roman"/>
        </w:rPr>
        <w:t>“</w:t>
      </w:r>
      <w:r w:rsidR="00FE22CC" w:rsidRPr="00970C35">
        <w:rPr>
          <w:rFonts w:ascii="Times New Roman" w:hAnsi="Times New Roman" w:cs="Times New Roman"/>
        </w:rPr>
        <w:t>fourth quarter effect</w:t>
      </w:r>
      <w:r w:rsidR="001B3F63" w:rsidRPr="00970C35">
        <w:rPr>
          <w:rFonts w:ascii="Times New Roman" w:hAnsi="Times New Roman" w:cs="Times New Roman"/>
        </w:rPr>
        <w:t>”</w:t>
      </w:r>
      <w:r w:rsidR="00FE22CC" w:rsidRPr="00970C35">
        <w:rPr>
          <w:rFonts w:ascii="Times New Roman" w:hAnsi="Times New Roman" w:cs="Times New Roman"/>
        </w:rPr>
        <w:t>.</w:t>
      </w:r>
      <w:r w:rsidRPr="00970C35">
        <w:rPr>
          <w:rFonts w:ascii="Times New Roman" w:hAnsi="Times New Roman" w:cs="Times New Roman"/>
        </w:rPr>
        <w:t xml:space="preserve"> </w:t>
      </w:r>
    </w:p>
    <w:p w:rsidR="00821BD4" w:rsidRPr="00970C35" w:rsidRDefault="00821BD4" w:rsidP="003A6B4D">
      <w:pPr>
        <w:spacing w:after="240" w:line="480" w:lineRule="auto"/>
        <w:ind w:firstLine="288"/>
        <w:jc w:val="both"/>
        <w:rPr>
          <w:rFonts w:ascii="Times New Roman" w:hAnsi="Times New Roman" w:cs="Times New Roman"/>
        </w:rPr>
      </w:pPr>
      <w:r w:rsidRPr="00970C35">
        <w:rPr>
          <w:rFonts w:ascii="Times New Roman" w:hAnsi="Times New Roman" w:cs="Times New Roman"/>
        </w:rPr>
        <w:t>However, there may be another channel through which access to external finance could have an impact in the opposite direction on capital budget allocations. Since</w:t>
      </w:r>
      <w:r w:rsidR="007F6B7E" w:rsidRPr="00970C35">
        <w:rPr>
          <w:rFonts w:ascii="Times New Roman" w:hAnsi="Times New Roman" w:cs="Times New Roman"/>
        </w:rPr>
        <w:t xml:space="preserve"> some</w:t>
      </w:r>
      <w:r w:rsidRPr="00970C35">
        <w:rPr>
          <w:rFonts w:ascii="Times New Roman" w:hAnsi="Times New Roman" w:cs="Times New Roman"/>
        </w:rPr>
        <w:t xml:space="preserve"> firms </w:t>
      </w:r>
      <w:r w:rsidR="007F6B7E" w:rsidRPr="00970C35">
        <w:rPr>
          <w:rFonts w:ascii="Times New Roman" w:hAnsi="Times New Roman" w:cs="Times New Roman"/>
        </w:rPr>
        <w:t xml:space="preserve">may </w:t>
      </w:r>
      <w:r w:rsidRPr="00970C35">
        <w:rPr>
          <w:rFonts w:ascii="Times New Roman" w:hAnsi="Times New Roman" w:cs="Times New Roman"/>
        </w:rPr>
        <w:t>have to rely more on internal finance</w:t>
      </w:r>
      <w:r w:rsidR="00C4209A" w:rsidRPr="00970C35">
        <w:rPr>
          <w:rStyle w:val="ac"/>
          <w:rFonts w:ascii="Times New Roman" w:hAnsi="Times New Roman" w:cs="Times New Roman"/>
        </w:rPr>
        <w:footnoteReference w:id="3"/>
      </w:r>
      <w:r w:rsidR="00C4209A" w:rsidRPr="00970C35">
        <w:rPr>
          <w:rFonts w:ascii="Times New Roman" w:hAnsi="Times New Roman" w:cs="Times New Roman"/>
        </w:rPr>
        <w:t>,</w:t>
      </w:r>
      <w:r w:rsidRPr="00970C35">
        <w:rPr>
          <w:rFonts w:ascii="Times New Roman" w:hAnsi="Times New Roman" w:cs="Times New Roman"/>
        </w:rPr>
        <w:t xml:space="preserve"> they might </w:t>
      </w:r>
      <w:r w:rsidR="00BF7092" w:rsidRPr="00970C35">
        <w:rPr>
          <w:rFonts w:ascii="Times New Roman" w:hAnsi="Times New Roman" w:cs="Times New Roman"/>
        </w:rPr>
        <w:t>have incentives to</w:t>
      </w:r>
      <w:r w:rsidRPr="00970C35">
        <w:rPr>
          <w:rFonts w:ascii="Times New Roman" w:hAnsi="Times New Roman" w:cs="Times New Roman"/>
        </w:rPr>
        <w:t xml:space="preserve"> pay more attention to their internal allocation efficiency and thus </w:t>
      </w:r>
      <w:r w:rsidR="00C35368" w:rsidRPr="00970C35">
        <w:rPr>
          <w:rFonts w:ascii="Times New Roman" w:hAnsi="Times New Roman" w:cs="Times New Roman"/>
        </w:rPr>
        <w:t>reduce</w:t>
      </w:r>
      <w:r w:rsidRPr="00970C35">
        <w:rPr>
          <w:rFonts w:ascii="Times New Roman" w:hAnsi="Times New Roman" w:cs="Times New Roman"/>
        </w:rPr>
        <w:t xml:space="preserve"> the distortions. Therefore, whether </w:t>
      </w:r>
      <w:r w:rsidR="00C4209A" w:rsidRPr="00970C35">
        <w:rPr>
          <w:rFonts w:ascii="Times New Roman" w:hAnsi="Times New Roman" w:cs="Times New Roman"/>
        </w:rPr>
        <w:t xml:space="preserve">a </w:t>
      </w:r>
      <w:r w:rsidR="007F6B7E" w:rsidRPr="00970C35">
        <w:rPr>
          <w:rFonts w:ascii="Times New Roman" w:hAnsi="Times New Roman" w:cs="Times New Roman"/>
        </w:rPr>
        <w:t>more developed financial market</w:t>
      </w:r>
      <w:r w:rsidRPr="00970C35">
        <w:rPr>
          <w:rFonts w:ascii="Times New Roman" w:hAnsi="Times New Roman" w:cs="Times New Roman"/>
        </w:rPr>
        <w:t xml:space="preserve"> augments</w:t>
      </w:r>
      <w:r w:rsidR="00E122BF" w:rsidRPr="00970C35">
        <w:rPr>
          <w:rFonts w:ascii="Times New Roman" w:hAnsi="Times New Roman" w:cs="Times New Roman"/>
        </w:rPr>
        <w:t>,</w:t>
      </w:r>
      <w:r w:rsidRPr="00970C35">
        <w:rPr>
          <w:rFonts w:ascii="Times New Roman" w:hAnsi="Times New Roman" w:cs="Times New Roman"/>
        </w:rPr>
        <w:t xml:space="preserve"> or mitigate</w:t>
      </w:r>
      <w:r w:rsidR="00C4209A" w:rsidRPr="00970C35">
        <w:rPr>
          <w:rFonts w:ascii="Times New Roman" w:hAnsi="Times New Roman" w:cs="Times New Roman"/>
        </w:rPr>
        <w:t>s</w:t>
      </w:r>
      <w:r w:rsidRPr="00970C35">
        <w:rPr>
          <w:rFonts w:ascii="Times New Roman" w:hAnsi="Times New Roman" w:cs="Times New Roman"/>
        </w:rPr>
        <w:t xml:space="preserve"> the </w:t>
      </w:r>
      <w:r w:rsidR="003A7D27" w:rsidRPr="00970C35">
        <w:rPr>
          <w:rFonts w:ascii="Times New Roman" w:hAnsi="Times New Roman" w:cs="Times New Roman"/>
        </w:rPr>
        <w:t>“</w:t>
      </w:r>
      <w:r w:rsidRPr="00970C35">
        <w:rPr>
          <w:rFonts w:ascii="Times New Roman" w:hAnsi="Times New Roman" w:cs="Times New Roman"/>
        </w:rPr>
        <w:t>fourth quarter effect</w:t>
      </w:r>
      <w:r w:rsidR="003A7D27" w:rsidRPr="00970C35">
        <w:rPr>
          <w:rFonts w:ascii="Times New Roman" w:hAnsi="Times New Roman" w:cs="Times New Roman"/>
        </w:rPr>
        <w:t>”</w:t>
      </w:r>
      <w:r w:rsidRPr="00970C35">
        <w:rPr>
          <w:rFonts w:ascii="Times New Roman" w:hAnsi="Times New Roman" w:cs="Times New Roman"/>
        </w:rPr>
        <w:t xml:space="preserve"> is an empirical question, and we test the following hypothesis.</w:t>
      </w:r>
    </w:p>
    <w:p w:rsidR="00821BD4" w:rsidRPr="00970C35" w:rsidRDefault="00821BD4" w:rsidP="003A6B4D">
      <w:pPr>
        <w:spacing w:after="240" w:line="480" w:lineRule="auto"/>
        <w:jc w:val="both"/>
        <w:rPr>
          <w:rFonts w:ascii="Times New Roman" w:hAnsi="Times New Roman" w:cs="Times New Roman"/>
        </w:rPr>
      </w:pPr>
      <w:r w:rsidRPr="00970C35">
        <w:rPr>
          <w:rFonts w:ascii="Times New Roman" w:hAnsi="Times New Roman" w:cs="Times New Roman"/>
          <w:b/>
        </w:rPr>
        <w:t>H2</w:t>
      </w:r>
      <w:r w:rsidRPr="00970C35">
        <w:rPr>
          <w:rFonts w:ascii="Times New Roman" w:hAnsi="Times New Roman" w:cs="Times New Roman"/>
        </w:rPr>
        <w:t xml:space="preserve">: </w:t>
      </w:r>
      <w:r w:rsidRPr="00970C35">
        <w:rPr>
          <w:rFonts w:ascii="Times New Roman" w:hAnsi="Times New Roman" w:cs="Times New Roman"/>
          <w:i/>
        </w:rPr>
        <w:t xml:space="preserve">Firms in countries with more developed financial markets on average </w:t>
      </w:r>
      <w:r w:rsidR="00464A04" w:rsidRPr="00970C35">
        <w:rPr>
          <w:rFonts w:ascii="Times New Roman" w:hAnsi="Times New Roman" w:cs="Times New Roman"/>
          <w:i/>
        </w:rPr>
        <w:t>demonstrate</w:t>
      </w:r>
      <w:r w:rsidR="007F6B7E" w:rsidRPr="00970C35">
        <w:rPr>
          <w:rFonts w:ascii="Times New Roman" w:hAnsi="Times New Roman" w:cs="Times New Roman"/>
          <w:i/>
        </w:rPr>
        <w:t xml:space="preserve"> less</w:t>
      </w:r>
      <w:r w:rsidR="00464A04" w:rsidRPr="00970C35">
        <w:rPr>
          <w:rFonts w:ascii="Times New Roman" w:hAnsi="Times New Roman" w:cs="Times New Roman"/>
          <w:i/>
        </w:rPr>
        <w:t xml:space="preserve"> (more)</w:t>
      </w:r>
      <w:r w:rsidR="007F6B7E" w:rsidRPr="00970C35">
        <w:rPr>
          <w:rFonts w:ascii="Times New Roman" w:hAnsi="Times New Roman" w:cs="Times New Roman"/>
          <w:i/>
        </w:rPr>
        <w:t xml:space="preserve"> salient </w:t>
      </w:r>
      <w:r w:rsidR="003A7D27" w:rsidRPr="00970C35">
        <w:rPr>
          <w:rFonts w:ascii="Times New Roman" w:hAnsi="Times New Roman" w:cs="Times New Roman"/>
          <w:i/>
        </w:rPr>
        <w:t>“</w:t>
      </w:r>
      <w:r w:rsidR="007F6B7E" w:rsidRPr="00970C35">
        <w:rPr>
          <w:rFonts w:ascii="Times New Roman" w:hAnsi="Times New Roman" w:cs="Times New Roman"/>
          <w:i/>
        </w:rPr>
        <w:t>fourth quarter effect</w:t>
      </w:r>
      <w:r w:rsidR="003A7D27" w:rsidRPr="00970C35">
        <w:rPr>
          <w:rFonts w:ascii="Times New Roman" w:hAnsi="Times New Roman" w:cs="Times New Roman"/>
          <w:i/>
        </w:rPr>
        <w:t>”</w:t>
      </w:r>
      <w:r w:rsidRPr="00970C35">
        <w:rPr>
          <w:rFonts w:ascii="Times New Roman" w:hAnsi="Times New Roman" w:cs="Times New Roman"/>
          <w:i/>
        </w:rPr>
        <w:t>, and therefore</w:t>
      </w:r>
      <w:r w:rsidR="007F6B7E" w:rsidRPr="00970C35">
        <w:rPr>
          <w:rFonts w:ascii="Times New Roman" w:hAnsi="Times New Roman" w:cs="Times New Roman"/>
          <w:i/>
        </w:rPr>
        <w:t xml:space="preserve"> less </w:t>
      </w:r>
      <w:r w:rsidR="00464A04" w:rsidRPr="00970C35">
        <w:rPr>
          <w:rFonts w:ascii="Times New Roman" w:hAnsi="Times New Roman" w:cs="Times New Roman"/>
          <w:i/>
        </w:rPr>
        <w:t xml:space="preserve">(more) </w:t>
      </w:r>
      <w:r w:rsidR="00B116D6" w:rsidRPr="00970C35">
        <w:rPr>
          <w:rFonts w:ascii="Times New Roman" w:hAnsi="Times New Roman" w:cs="Times New Roman"/>
          <w:i/>
        </w:rPr>
        <w:t>overinvestment</w:t>
      </w:r>
      <w:r w:rsidRPr="00970C35">
        <w:rPr>
          <w:rFonts w:ascii="Times New Roman" w:hAnsi="Times New Roman" w:cs="Times New Roman"/>
          <w:i/>
        </w:rPr>
        <w:t>.</w:t>
      </w:r>
    </w:p>
    <w:p w:rsidR="00821BD4" w:rsidRPr="00970C35" w:rsidRDefault="00BF7092" w:rsidP="00821BD4">
      <w:pPr>
        <w:spacing w:after="0" w:line="480" w:lineRule="auto"/>
        <w:jc w:val="both"/>
        <w:rPr>
          <w:rFonts w:ascii="Times New Roman" w:hAnsi="Times New Roman" w:cs="Times New Roman"/>
          <w:b/>
        </w:rPr>
      </w:pPr>
      <w:r w:rsidRPr="00970C35">
        <w:rPr>
          <w:rFonts w:ascii="Times New Roman" w:hAnsi="Times New Roman" w:cs="Times New Roman"/>
          <w:b/>
        </w:rPr>
        <w:lastRenderedPageBreak/>
        <w:t>3</w:t>
      </w:r>
      <w:r w:rsidR="00821BD4" w:rsidRPr="00970C35">
        <w:rPr>
          <w:rFonts w:ascii="Times New Roman" w:hAnsi="Times New Roman" w:cs="Times New Roman"/>
          <w:b/>
        </w:rPr>
        <w:t>. Data and Summary Statistics</w:t>
      </w:r>
    </w:p>
    <w:p w:rsidR="00821BD4" w:rsidRPr="00970C35" w:rsidRDefault="00BF7092" w:rsidP="00821BD4">
      <w:pPr>
        <w:autoSpaceDE w:val="0"/>
        <w:autoSpaceDN w:val="0"/>
        <w:adjustRightInd w:val="0"/>
        <w:spacing w:after="0" w:line="480" w:lineRule="auto"/>
        <w:jc w:val="both"/>
        <w:rPr>
          <w:rFonts w:ascii="Times New Roman" w:hAnsi="Times New Roman" w:cs="Times New Roman"/>
        </w:rPr>
      </w:pPr>
      <w:r w:rsidRPr="00970C35">
        <w:rPr>
          <w:rFonts w:ascii="Times New Roman" w:hAnsi="Times New Roman" w:cs="Times New Roman"/>
        </w:rPr>
        <w:t>3</w:t>
      </w:r>
      <w:r w:rsidR="00821BD4" w:rsidRPr="00970C35">
        <w:rPr>
          <w:rFonts w:ascii="Times New Roman" w:hAnsi="Times New Roman" w:cs="Times New Roman"/>
        </w:rPr>
        <w:t>.1. Data</w:t>
      </w:r>
    </w:p>
    <w:p w:rsidR="00821BD4" w:rsidRPr="00970C35" w:rsidRDefault="00821BD4" w:rsidP="00FB7446">
      <w:pPr>
        <w:autoSpaceDE w:val="0"/>
        <w:autoSpaceDN w:val="0"/>
        <w:adjustRightInd w:val="0"/>
        <w:spacing w:after="0" w:line="480" w:lineRule="auto"/>
        <w:jc w:val="both"/>
        <w:rPr>
          <w:rFonts w:ascii="Times New Roman" w:hAnsi="Times New Roman" w:cs="Times New Roman"/>
          <w:color w:val="0070C0"/>
        </w:rPr>
      </w:pPr>
      <w:r w:rsidRPr="00970C35">
        <w:rPr>
          <w:rFonts w:ascii="Times New Roman" w:hAnsi="Times New Roman" w:cs="Times New Roman"/>
        </w:rPr>
        <w:t xml:space="preserve">Our primary data source for firm-level data is Standard and Poor’s Compustat. </w:t>
      </w:r>
      <w:r w:rsidR="00FB7446" w:rsidRPr="00F66B3C">
        <w:rPr>
          <w:rFonts w:ascii="Times New Roman" w:hAnsi="Times New Roman" w:cs="Times New Roman"/>
          <w:color w:val="000000" w:themeColor="text1"/>
        </w:rPr>
        <w:t>According to Standard &amp; Poor’s Compustat Xpressfeed Manual, Compustat data “is unique in that it is normalized to provide comparability across a wide variety of global accounting standards and practices.”</w:t>
      </w:r>
      <w:r w:rsidR="00F66B3C">
        <w:rPr>
          <w:rFonts w:ascii="Times New Roman" w:hAnsi="Times New Roman" w:cs="Times New Roman"/>
          <w:color w:val="000000" w:themeColor="text1"/>
        </w:rPr>
        <w:t xml:space="preserve"> This should all</w:t>
      </w:r>
      <w:r w:rsidR="000E4230" w:rsidRPr="00F66B3C">
        <w:rPr>
          <w:rFonts w:ascii="Times New Roman" w:hAnsi="Times New Roman" w:cs="Times New Roman"/>
          <w:color w:val="000000" w:themeColor="text1"/>
        </w:rPr>
        <w:t>eviate the concern that our analysis is contaminated by the cross-country variation in the quality of our data.</w:t>
      </w:r>
      <w:r w:rsidR="00FB7446" w:rsidRPr="00F66B3C">
        <w:rPr>
          <w:rFonts w:ascii="Times New Roman" w:hAnsi="Times New Roman" w:cs="Times New Roman"/>
          <w:color w:val="000000" w:themeColor="text1"/>
        </w:rPr>
        <w:t xml:space="preserve"> </w:t>
      </w:r>
      <w:r w:rsidRPr="00970C35">
        <w:rPr>
          <w:rFonts w:ascii="Times New Roman" w:hAnsi="Times New Roman" w:cs="Times New Roman"/>
        </w:rPr>
        <w:t xml:space="preserve">We obtain quarterly and </w:t>
      </w:r>
      <w:r w:rsidR="00E122BF" w:rsidRPr="00970C35">
        <w:rPr>
          <w:rFonts w:ascii="Times New Roman" w:hAnsi="Times New Roman" w:cs="Times New Roman"/>
        </w:rPr>
        <w:t>annual financial statement</w:t>
      </w:r>
      <w:r w:rsidRPr="00970C35">
        <w:rPr>
          <w:rFonts w:ascii="Times New Roman" w:hAnsi="Times New Roman" w:cs="Times New Roman"/>
        </w:rPr>
        <w:t xml:space="preserve"> variables, security price, and exchange rates data from </w:t>
      </w:r>
      <w:r w:rsidR="00E122BF" w:rsidRPr="00970C35">
        <w:rPr>
          <w:rFonts w:ascii="Times New Roman" w:hAnsi="Times New Roman" w:cs="Times New Roman"/>
        </w:rPr>
        <w:t xml:space="preserve">the </w:t>
      </w:r>
      <w:r w:rsidRPr="00970C35">
        <w:rPr>
          <w:rFonts w:ascii="Times New Roman" w:hAnsi="Times New Roman" w:cs="Times New Roman"/>
        </w:rPr>
        <w:t>Compustat Global and North America (NA) database</w:t>
      </w:r>
      <w:r w:rsidR="00E122BF" w:rsidRPr="00970C35">
        <w:rPr>
          <w:rFonts w:ascii="Times New Roman" w:hAnsi="Times New Roman" w:cs="Times New Roman"/>
        </w:rPr>
        <w:t>.</w:t>
      </w:r>
      <w:r w:rsidRPr="00970C35">
        <w:rPr>
          <w:rStyle w:val="ac"/>
          <w:rFonts w:ascii="Times New Roman" w:hAnsi="Times New Roman" w:cs="Times New Roman"/>
        </w:rPr>
        <w:footnoteReference w:id="4"/>
      </w:r>
      <w:r w:rsidRPr="00970C35">
        <w:rPr>
          <w:rFonts w:ascii="Times New Roman" w:hAnsi="Times New Roman" w:cs="Times New Roman"/>
        </w:rPr>
        <w:t xml:space="preserve"> We collect country-level variables through various sources. </w:t>
      </w:r>
      <w:r w:rsidR="00DB26B2" w:rsidRPr="00970C35">
        <w:rPr>
          <w:rFonts w:ascii="Times New Roman" w:hAnsi="Times New Roman" w:cs="Times New Roman"/>
        </w:rPr>
        <w:t xml:space="preserve">The details of these variables are provided in Appendix A. </w:t>
      </w:r>
      <w:r w:rsidR="00BD6ED8" w:rsidRPr="00970C35">
        <w:rPr>
          <w:rFonts w:ascii="Times New Roman" w:hAnsi="Times New Roman" w:cs="Times New Roman"/>
        </w:rPr>
        <w:t xml:space="preserve">To measure investor rights and protection, </w:t>
      </w:r>
      <w:r w:rsidR="00E94620" w:rsidRPr="00970C35">
        <w:rPr>
          <w:rFonts w:ascii="Times New Roman" w:hAnsi="Times New Roman" w:cs="Times New Roman"/>
        </w:rPr>
        <w:t>we use general proxies such as legal system and more specific indices for investor rights. W</w:t>
      </w:r>
      <w:r w:rsidRPr="00970C35">
        <w:rPr>
          <w:rFonts w:ascii="Times New Roman" w:hAnsi="Times New Roman" w:cs="Times New Roman"/>
        </w:rPr>
        <w:t xml:space="preserve">e obtain </w:t>
      </w:r>
      <w:r w:rsidR="00BD6ED8" w:rsidRPr="00970C35">
        <w:rPr>
          <w:rFonts w:ascii="Times New Roman" w:hAnsi="Times New Roman" w:cs="Times New Roman"/>
        </w:rPr>
        <w:t>anti-director index</w:t>
      </w:r>
      <w:r w:rsidR="00A41B0C" w:rsidRPr="00970C35">
        <w:rPr>
          <w:rFonts w:ascii="Times New Roman" w:hAnsi="Times New Roman" w:cs="Times New Roman"/>
        </w:rPr>
        <w:t xml:space="preserve"> (AD)</w:t>
      </w:r>
      <w:r w:rsidR="00BD6ED8" w:rsidRPr="00970C35">
        <w:rPr>
          <w:rFonts w:ascii="Times New Roman" w:hAnsi="Times New Roman" w:cs="Times New Roman"/>
        </w:rPr>
        <w:t>,</w:t>
      </w:r>
      <w:r w:rsidRPr="00970C35">
        <w:rPr>
          <w:rFonts w:ascii="Times New Roman" w:hAnsi="Times New Roman" w:cs="Times New Roman"/>
        </w:rPr>
        <w:t xml:space="preserve"> anti-self-dealing index</w:t>
      </w:r>
      <w:r w:rsidR="00A41B0C" w:rsidRPr="00970C35">
        <w:rPr>
          <w:rFonts w:ascii="Times New Roman" w:hAnsi="Times New Roman" w:cs="Times New Roman"/>
        </w:rPr>
        <w:t xml:space="preserve"> (AS)</w:t>
      </w:r>
      <w:r w:rsidRPr="00970C35">
        <w:rPr>
          <w:rFonts w:ascii="Times New Roman" w:hAnsi="Times New Roman" w:cs="Times New Roman"/>
        </w:rPr>
        <w:t>, accounting strength</w:t>
      </w:r>
      <w:r w:rsidR="00A41B0C" w:rsidRPr="00970C35">
        <w:rPr>
          <w:rFonts w:ascii="Times New Roman" w:hAnsi="Times New Roman" w:cs="Times New Roman"/>
        </w:rPr>
        <w:t xml:space="preserve"> (ACCT)</w:t>
      </w:r>
      <w:r w:rsidR="0093481A" w:rsidRPr="00970C35">
        <w:rPr>
          <w:rFonts w:ascii="Times New Roman" w:hAnsi="Times New Roman" w:cs="Times New Roman"/>
        </w:rPr>
        <w:t xml:space="preserve">, and </w:t>
      </w:r>
      <w:r w:rsidR="003D0CAB" w:rsidRPr="00970C35">
        <w:rPr>
          <w:rFonts w:ascii="Times New Roman" w:hAnsi="Times New Roman" w:cs="Times New Roman"/>
        </w:rPr>
        <w:t>Common law dummy</w:t>
      </w:r>
      <w:r w:rsidR="0093481A" w:rsidRPr="00970C35">
        <w:rPr>
          <w:rFonts w:ascii="Times New Roman" w:hAnsi="Times New Roman" w:cs="Times New Roman"/>
        </w:rPr>
        <w:t xml:space="preserve"> (UK) data</w:t>
      </w:r>
      <w:r w:rsidRPr="00970C35">
        <w:rPr>
          <w:rFonts w:ascii="Times New Roman" w:hAnsi="Times New Roman" w:cs="Times New Roman"/>
        </w:rPr>
        <w:t xml:space="preserve"> from </w:t>
      </w:r>
      <w:r w:rsidR="00A41B0C" w:rsidRPr="00970C35">
        <w:rPr>
          <w:rFonts w:ascii="Times New Roman" w:hAnsi="Times New Roman" w:cs="Times New Roman"/>
        </w:rPr>
        <w:t xml:space="preserve">Professor </w:t>
      </w:r>
      <w:r w:rsidRPr="00970C35">
        <w:rPr>
          <w:rFonts w:ascii="Times New Roman" w:hAnsi="Times New Roman" w:cs="Times New Roman"/>
        </w:rPr>
        <w:t>La Porta’s website</w:t>
      </w:r>
      <w:r w:rsidR="00BD6ED8" w:rsidRPr="00970C35">
        <w:rPr>
          <w:rFonts w:ascii="Times New Roman" w:hAnsi="Times New Roman" w:cs="Times New Roman"/>
        </w:rPr>
        <w:t xml:space="preserve">, country-level earnings management index </w:t>
      </w:r>
      <w:r w:rsidR="00A41B0C" w:rsidRPr="00970C35">
        <w:rPr>
          <w:rFonts w:ascii="Times New Roman" w:hAnsi="Times New Roman" w:cs="Times New Roman"/>
        </w:rPr>
        <w:t xml:space="preserve">(EM) </w:t>
      </w:r>
      <w:r w:rsidR="00BD6ED8" w:rsidRPr="00970C35">
        <w:rPr>
          <w:rFonts w:ascii="Times New Roman" w:hAnsi="Times New Roman" w:cs="Times New Roman"/>
        </w:rPr>
        <w:t xml:space="preserve">from </w:t>
      </w:r>
      <w:r w:rsidR="00BD6ED8"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"10.1016/S0304-405X(03)00121-1", "ISBN" : "0304-405X", "ISSN" : "0304405X", "PMID" : "231689491", "abstract" : "This paper examines systematic differences in earnings management across 31 countries. We propose an explanation for these differences based on the notion that insiders, in an attempt to protect their private control benefits, use earnings management to conceal firm performance from outsiders. Thus, earnings management is expected to decrease in investor protection because strong protection limits insiders' ability to acquire private control benefits, which reduces their incentives to mask firm performance. Our findings are consistent with this prediction and suggest an endogenous link between corporate governance and the quality of reported earnings. ?? 2003 Elsevier B.V. All rights reserved.", "author" : [ { "dropping-particle" : "", "family" : "Leuz", "given" : "Christian", "non-dropping-particle" : "", "parse-names" : false, "suffix" : "" }, { "dropping-particle" : "", "family" : "Nanda", "given" : "Dhananjay", "non-dropping-particle" : "", "parse-names" : false, "suffix" : "" }, { "dropping-particle" : "", "family" : "Wysocki", "given" : "Peter D.", "non-dropping-particle" : "", "parse-names" : false, "suffix" : "" } ], "container-title" : "Journal of Financial Economics", "id" : "ITEM-1", "issue" : "3", "issued" : { "date-parts" : [ [ "2003" ] ] }, "page" : "505-527", "title" : "Earnings management and investor protection: An international comparison", "type" : "article-journal", "volume" : "69" }, "uris" : [ "http://www.mendeley.com/documents/?uuid=0054c93e-03cc-499c-aa18-5c035f6198fa" ] } ], "mendeley" : { "formattedCitation" : "Leuz, Nanda, and Wysocki (2003)", "plainTextFormattedCitation" : "Leuz, Nanda, and Wysocki (2003)", "previouslyFormattedCitation" : "Leuz, Nanda, and Wysocki (2003)" }, "properties" : { "noteIndex" : 0 }, "schema" : "https://github.com/citation-style-language/schema/raw/master/csl-citation.json" }</w:instrText>
      </w:r>
      <w:r w:rsidR="00BD6ED8" w:rsidRPr="00970C35">
        <w:rPr>
          <w:rFonts w:ascii="Times New Roman" w:hAnsi="Times New Roman" w:cs="Times New Roman"/>
        </w:rPr>
        <w:fldChar w:fldCharType="separate"/>
      </w:r>
      <w:r w:rsidR="00C462AD" w:rsidRPr="00970C35">
        <w:rPr>
          <w:rFonts w:ascii="Times New Roman" w:hAnsi="Times New Roman" w:cs="Times New Roman"/>
          <w:noProof/>
        </w:rPr>
        <w:t>Leuz, Nanda, and Wysocki (2003)</w:t>
      </w:r>
      <w:r w:rsidR="00BD6ED8" w:rsidRPr="00970C35">
        <w:rPr>
          <w:rFonts w:ascii="Times New Roman" w:hAnsi="Times New Roman" w:cs="Times New Roman"/>
        </w:rPr>
        <w:fldChar w:fldCharType="end"/>
      </w:r>
      <w:r w:rsidR="00411685" w:rsidRPr="00970C35">
        <w:rPr>
          <w:rFonts w:ascii="Times New Roman" w:hAnsi="Times New Roman" w:cs="Times New Roman"/>
        </w:rPr>
        <w:t xml:space="preserve">, and </w:t>
      </w:r>
      <w:r w:rsidR="001458D8" w:rsidRPr="00970C35">
        <w:rPr>
          <w:rFonts w:ascii="Times New Roman" w:eastAsia="맑은 고딕" w:hAnsi="Times New Roman" w:cs="Times New Roman"/>
          <w:lang w:eastAsia="ko-KR"/>
        </w:rPr>
        <w:t xml:space="preserve">the </w:t>
      </w:r>
      <w:r w:rsidR="00411685" w:rsidRPr="00970C35">
        <w:rPr>
          <w:rFonts w:ascii="Times New Roman" w:hAnsi="Times New Roman" w:cs="Times New Roman"/>
        </w:rPr>
        <w:t>extent of disclosure index (DISC) from World Bank’s Doing Business database.</w:t>
      </w:r>
      <w:r w:rsidR="00BD6ED8" w:rsidRPr="00970C35">
        <w:rPr>
          <w:rFonts w:ascii="Times New Roman" w:hAnsi="Times New Roman" w:cs="Times New Roman"/>
        </w:rPr>
        <w:t xml:space="preserve"> </w:t>
      </w:r>
      <w:r w:rsidR="0093481A" w:rsidRPr="00970C35">
        <w:rPr>
          <w:rFonts w:ascii="Times New Roman" w:hAnsi="Times New Roman" w:cs="Times New Roman"/>
        </w:rPr>
        <w:t xml:space="preserve">We obtain Rule of law (RULE) from World Bank’s Worldwide Governance Indicators (WGI) as a measure for law enforcement. </w:t>
      </w:r>
      <w:r w:rsidR="00BD6ED8" w:rsidRPr="00970C35">
        <w:rPr>
          <w:rFonts w:ascii="Times New Roman" w:hAnsi="Times New Roman" w:cs="Times New Roman"/>
        </w:rPr>
        <w:t xml:space="preserve">To measure </w:t>
      </w:r>
      <w:r w:rsidR="00E122BF" w:rsidRPr="00970C35">
        <w:rPr>
          <w:rFonts w:ascii="Times New Roman" w:hAnsi="Times New Roman" w:cs="Times New Roman"/>
        </w:rPr>
        <w:t xml:space="preserve">a </w:t>
      </w:r>
      <w:r w:rsidR="00BD6ED8" w:rsidRPr="00970C35">
        <w:rPr>
          <w:rFonts w:ascii="Times New Roman" w:hAnsi="Times New Roman" w:cs="Times New Roman"/>
        </w:rPr>
        <w:t>count</w:t>
      </w:r>
      <w:r w:rsidR="00E122BF" w:rsidRPr="00970C35">
        <w:rPr>
          <w:rFonts w:ascii="Times New Roman" w:hAnsi="Times New Roman" w:cs="Times New Roman"/>
        </w:rPr>
        <w:t>riy’s</w:t>
      </w:r>
      <w:r w:rsidR="00BD6ED8" w:rsidRPr="00970C35">
        <w:rPr>
          <w:rFonts w:ascii="Times New Roman" w:hAnsi="Times New Roman" w:cs="Times New Roman"/>
        </w:rPr>
        <w:t xml:space="preserve"> financial market development</w:t>
      </w:r>
      <w:r w:rsidRPr="00970C35">
        <w:rPr>
          <w:rFonts w:ascii="Times New Roman" w:hAnsi="Times New Roman" w:cs="Times New Roman"/>
        </w:rPr>
        <w:t xml:space="preserve">, we </w:t>
      </w:r>
      <w:r w:rsidR="00A41B0C" w:rsidRPr="00970C35">
        <w:rPr>
          <w:rFonts w:ascii="Times New Roman" w:hAnsi="Times New Roman" w:cs="Times New Roman"/>
        </w:rPr>
        <w:t>collect data from</w:t>
      </w:r>
      <w:r w:rsidRPr="00970C35">
        <w:rPr>
          <w:rFonts w:ascii="Times New Roman" w:hAnsi="Times New Roman" w:cs="Times New Roman"/>
        </w:rPr>
        <w:t xml:space="preserve"> World Bank’s World Development Indicators (WDI), </w:t>
      </w:r>
      <w:r w:rsidR="00A41B0C" w:rsidRPr="00970C35">
        <w:rPr>
          <w:rFonts w:ascii="Times New Roman" w:hAnsi="Times New Roman" w:cs="Times New Roman"/>
        </w:rPr>
        <w:t xml:space="preserve">including the ratio of stock market capitalization over GDP (EQUITY), the ratio of domestic credit to private sector over GDP (CREDIT), and the combination of the two as a general measure of financial market development (FD). In addition, we download the number of IPOs per capita (IPO) from La Porta’s website. </w:t>
      </w:r>
      <w:r w:rsidRPr="00970C35">
        <w:rPr>
          <w:rFonts w:ascii="Times New Roman" w:hAnsi="Times New Roman" w:cs="Times New Roman"/>
        </w:rPr>
        <w:t xml:space="preserve">Finally, we acquire </w:t>
      </w:r>
      <w:r w:rsidR="00DB26B2" w:rsidRPr="00970C35">
        <w:rPr>
          <w:rFonts w:ascii="Times New Roman" w:hAnsi="Times New Roman" w:cs="Times New Roman"/>
        </w:rPr>
        <w:t xml:space="preserve">GDP per </w:t>
      </w:r>
      <w:r w:rsidR="00941FA4" w:rsidRPr="00970C35">
        <w:rPr>
          <w:rFonts w:ascii="Times New Roman" w:hAnsi="Times New Roman" w:cs="Times New Roman"/>
        </w:rPr>
        <w:t>capita</w:t>
      </w:r>
      <w:r w:rsidR="00DB26B2" w:rsidRPr="00970C35">
        <w:rPr>
          <w:rFonts w:ascii="Times New Roman" w:hAnsi="Times New Roman" w:cs="Times New Roman"/>
        </w:rPr>
        <w:t xml:space="preserve"> and annual GDP growth rate from World Bank’s World Development Indicators (WDI), and </w:t>
      </w:r>
      <w:r w:rsidRPr="00970C35">
        <w:rPr>
          <w:rFonts w:ascii="Times New Roman" w:hAnsi="Times New Roman" w:cs="Times New Roman"/>
        </w:rPr>
        <w:t>U</w:t>
      </w:r>
      <w:r w:rsidR="00E122BF" w:rsidRPr="00970C35">
        <w:rPr>
          <w:rFonts w:ascii="Times New Roman" w:hAnsi="Times New Roman" w:cs="Times New Roman"/>
        </w:rPr>
        <w:t>.</w:t>
      </w:r>
      <w:r w:rsidRPr="00970C35">
        <w:rPr>
          <w:rFonts w:ascii="Times New Roman" w:hAnsi="Times New Roman" w:cs="Times New Roman"/>
        </w:rPr>
        <w:t>S</w:t>
      </w:r>
      <w:r w:rsidR="00E122BF" w:rsidRPr="00970C35">
        <w:rPr>
          <w:rFonts w:ascii="Times New Roman" w:hAnsi="Times New Roman" w:cs="Times New Roman"/>
        </w:rPr>
        <w:t>.</w:t>
      </w:r>
      <w:r w:rsidRPr="00970C35">
        <w:rPr>
          <w:rFonts w:ascii="Times New Roman" w:hAnsi="Times New Roman" w:cs="Times New Roman"/>
        </w:rPr>
        <w:t xml:space="preserve"> Consumer Price Index for All Urban Consumer</w:t>
      </w:r>
      <w:r w:rsidR="00DB26B2" w:rsidRPr="00970C35">
        <w:rPr>
          <w:rFonts w:ascii="Times New Roman" w:hAnsi="Times New Roman" w:cs="Times New Roman"/>
        </w:rPr>
        <w:t>s at Bureau of Labor Statistics</w:t>
      </w:r>
      <w:r w:rsidRPr="00970C35">
        <w:rPr>
          <w:rFonts w:ascii="Times New Roman" w:hAnsi="Times New Roman" w:cs="Times New Roman"/>
        </w:rPr>
        <w:t>.</w:t>
      </w:r>
      <w:r w:rsidR="00DB26B2" w:rsidRPr="00970C35">
        <w:rPr>
          <w:rFonts w:ascii="Times New Roman" w:hAnsi="Times New Roman" w:cs="Times New Roman"/>
        </w:rPr>
        <w:t xml:space="preserve"> </w:t>
      </w:r>
    </w:p>
    <w:p w:rsidR="00821BD4" w:rsidRPr="00970C35" w:rsidRDefault="00821BD4" w:rsidP="00821BD4">
      <w:pPr>
        <w:autoSpaceDE w:val="0"/>
        <w:autoSpaceDN w:val="0"/>
        <w:adjustRightInd w:val="0"/>
        <w:spacing w:after="0" w:line="480" w:lineRule="auto"/>
        <w:ind w:firstLine="288"/>
        <w:jc w:val="both"/>
        <w:rPr>
          <w:rFonts w:ascii="Times New Roman" w:hAnsi="Times New Roman" w:cs="Times New Roman"/>
        </w:rPr>
      </w:pPr>
      <w:r w:rsidRPr="00970C35">
        <w:rPr>
          <w:rFonts w:ascii="Times New Roman" w:hAnsi="Times New Roman" w:cs="Times New Roman"/>
        </w:rPr>
        <w:t>Due to possible accounting reporting delay, we use data through fiscal year 2014. Since 2005 is the first fiscal year in which we have more observations from Compustat Global than from Compustat NA, our sample ranges from fiscal year 2005 to 2014 to avoid</w:t>
      </w:r>
      <w:r w:rsidR="00CA4893" w:rsidRPr="00970C35">
        <w:rPr>
          <w:rFonts w:ascii="Times New Roman" w:hAnsi="Times New Roman" w:cs="Times New Roman"/>
        </w:rPr>
        <w:t xml:space="preserve"> data</w:t>
      </w:r>
      <w:r w:rsidRPr="00970C35">
        <w:rPr>
          <w:rFonts w:ascii="Times New Roman" w:hAnsi="Times New Roman" w:cs="Times New Roman"/>
        </w:rPr>
        <w:t xml:space="preserve"> being dominated by a single country. In section </w:t>
      </w:r>
      <w:r w:rsidRPr="00970C35">
        <w:rPr>
          <w:rFonts w:ascii="Times New Roman" w:hAnsi="Times New Roman" w:cs="Times New Roman"/>
        </w:rPr>
        <w:lastRenderedPageBreak/>
        <w:t>4, we also exclude U</w:t>
      </w:r>
      <w:r w:rsidR="00E122BF" w:rsidRPr="00970C35">
        <w:rPr>
          <w:rFonts w:ascii="Times New Roman" w:hAnsi="Times New Roman" w:cs="Times New Roman"/>
        </w:rPr>
        <w:t>.</w:t>
      </w:r>
      <w:r w:rsidRPr="00970C35">
        <w:rPr>
          <w:rFonts w:ascii="Times New Roman" w:hAnsi="Times New Roman" w:cs="Times New Roman"/>
        </w:rPr>
        <w:t>S</w:t>
      </w:r>
      <w:r w:rsidR="00E122BF" w:rsidRPr="00970C35">
        <w:rPr>
          <w:rFonts w:ascii="Times New Roman" w:hAnsi="Times New Roman" w:cs="Times New Roman"/>
        </w:rPr>
        <w:t>.</w:t>
      </w:r>
      <w:r w:rsidRPr="00970C35">
        <w:rPr>
          <w:rFonts w:ascii="Times New Roman" w:hAnsi="Times New Roman" w:cs="Times New Roman"/>
        </w:rPr>
        <w:t xml:space="preserve"> firms in our </w:t>
      </w:r>
      <w:r w:rsidR="00686444" w:rsidRPr="00970C35">
        <w:rPr>
          <w:rFonts w:ascii="Times New Roman" w:hAnsi="Times New Roman" w:cs="Times New Roman"/>
        </w:rPr>
        <w:t>main tests</w:t>
      </w:r>
      <w:r w:rsidRPr="00970C35">
        <w:rPr>
          <w:rFonts w:ascii="Times New Roman" w:hAnsi="Times New Roman" w:cs="Times New Roman"/>
        </w:rPr>
        <w:t xml:space="preserve"> to make sure our results are not driven by </w:t>
      </w:r>
      <w:r w:rsidR="00CA4893" w:rsidRPr="00970C35">
        <w:rPr>
          <w:rFonts w:ascii="Times New Roman" w:hAnsi="Times New Roman" w:cs="Times New Roman"/>
        </w:rPr>
        <w:t>the United States alone</w:t>
      </w:r>
      <w:r w:rsidRPr="00970C35">
        <w:rPr>
          <w:rFonts w:ascii="Times New Roman" w:hAnsi="Times New Roman" w:cs="Times New Roman"/>
        </w:rPr>
        <w:t xml:space="preserve">. Following the literature (e.g.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"10.1093/rfs/hhp071", "ISBN" : "08939454", "ISSN" : "08939454", "abstract" : "This article documents differences between the Q-sensitivity of investment of stand-alone firms and unrelated segments of conglomerate firms. Unrelated segments exhibit lower Q-sensitivity of investment than stand-alone firms. This fact is driven by unrelated seg- ments of conglomerate firms that tend to invest less than stand-alone firms in high-Q industries. This finding is robust to matching on industry, year, size, age, and profitabil- ity. The differences are more pronounced in conglomerates in which top management has small ownership stakes, suggesting that agency problems explain the investment behavior of conglomerates.", "author" : [ { "dropping-particle" : "", "family" : "Ozbas", "given" : "Oguzhan", "non-dropping-particle" : "", "parse-names" : false, "suffix" : "" }, { "dropping-particle" : "", "family" : "Scharfstein", "given" : "David S.", "non-dropping-particle" : "", "parse-names" : false, "suffix" : "" } ], "container-title" : "Review of Financial Studies", "id" : "ITEM-1", "issued" : { "date-parts" : [ [ "2010" ] ] }, "page" : "581-599", "title" : "Evidence on the dark side of internal capital markets", "type" : "article-journal", "volume" : "23" }, "uris" : [ "http://www.mendeley.com/documents/?uuid=7c83ae2c-ce0a-4a24-ba08-422936eee216" ] } ], "mendeley" : { "formattedCitation" : "Ozbas and Scharfstein (2010)", "manualFormatting" : "Ozbas and Scharfstein, 2010", "plainTextFormattedCitation" : "Ozbas and Scharfstein (2010)", "previouslyFormattedCitation" : "Ozbas and Scharfstein (2010)" }, "properties" : { "noteIndex" : 0 }, "schema" : "https://github.com/citation-style-language/schema/raw/master/csl-citation.json" }</w:instrText>
      </w:r>
      <w:r w:rsidRPr="00970C35">
        <w:rPr>
          <w:rFonts w:ascii="Times New Roman" w:hAnsi="Times New Roman" w:cs="Times New Roman"/>
        </w:rPr>
        <w:fldChar w:fldCharType="separate"/>
      </w:r>
      <w:r w:rsidRPr="00970C35">
        <w:rPr>
          <w:rFonts w:ascii="Times New Roman" w:hAnsi="Times New Roman" w:cs="Times New Roman"/>
          <w:noProof/>
        </w:rPr>
        <w:t>Ozbas and Scharfstein, 2010</w:t>
      </w:r>
      <w:r w:rsidRPr="00970C35">
        <w:rPr>
          <w:rFonts w:ascii="Times New Roman" w:hAnsi="Times New Roman" w:cs="Times New Roman"/>
        </w:rPr>
        <w:fldChar w:fldCharType="end"/>
      </w:r>
      <w:r w:rsidRPr="00970C35">
        <w:rPr>
          <w:rFonts w:ascii="Times New Roman" w:hAnsi="Times New Roman" w:cs="Times New Roman"/>
        </w:rPr>
        <w:t>), we cross-validate observations in the annual files with those in the quarterly files</w:t>
      </w:r>
      <w:r w:rsidR="004E42E7" w:rsidRPr="00970C35">
        <w:rPr>
          <w:rFonts w:ascii="Times New Roman" w:hAnsi="Times New Roman" w:cs="Times New Roman"/>
        </w:rPr>
        <w:t>,</w:t>
      </w:r>
      <w:r w:rsidRPr="00970C35">
        <w:rPr>
          <w:rFonts w:ascii="Times New Roman" w:hAnsi="Times New Roman" w:cs="Times New Roman"/>
        </w:rPr>
        <w:t xml:space="preserve"> and drop observations for which the total assets or capital expenditure in the annual files do not fall within 5% of their counterparts in the quarterly files at year-end. In calculating firm’s market capitalization, if a firm has multiple issues of common stock at multiple exchanges, we combine issues of common stock at the primary exchange and exclude issues at other exchanges. </w:t>
      </w:r>
    </w:p>
    <w:p w:rsidR="00821BD4" w:rsidRPr="00970C35" w:rsidRDefault="00821BD4" w:rsidP="00A41B7A">
      <w:pPr>
        <w:autoSpaceDE w:val="0"/>
        <w:autoSpaceDN w:val="0"/>
        <w:adjustRightInd w:val="0"/>
        <w:spacing w:after="0" w:line="480" w:lineRule="auto"/>
        <w:ind w:firstLine="288"/>
        <w:jc w:val="both"/>
        <w:rPr>
          <w:rFonts w:ascii="Times New Roman" w:hAnsi="Times New Roman" w:cs="Times New Roman"/>
        </w:rPr>
      </w:pPr>
      <w:r w:rsidRPr="00970C35">
        <w:rPr>
          <w:rFonts w:ascii="Times New Roman" w:hAnsi="Times New Roman" w:cs="Times New Roman"/>
        </w:rPr>
        <w:t>After removing observations with missing security price information and non-quarterly reporting periodicity</w:t>
      </w:r>
      <w:r w:rsidRPr="00970C35">
        <w:rPr>
          <w:rStyle w:val="ac"/>
          <w:rFonts w:ascii="Times New Roman" w:hAnsi="Times New Roman" w:cs="Times New Roman"/>
        </w:rPr>
        <w:footnoteReference w:id="5"/>
      </w:r>
      <w:r w:rsidRPr="00970C35">
        <w:rPr>
          <w:rFonts w:ascii="Times New Roman" w:hAnsi="Times New Roman" w:cs="Times New Roman"/>
        </w:rPr>
        <w:t xml:space="preserve">, we merge the dataset of company fundamentals with the </w:t>
      </w:r>
      <w:r w:rsidR="00CA4893" w:rsidRPr="00970C35">
        <w:rPr>
          <w:rFonts w:ascii="Times New Roman" w:hAnsi="Times New Roman" w:cs="Times New Roman"/>
        </w:rPr>
        <w:t>Compustat North America and Global Security Daily File</w:t>
      </w:r>
      <w:r w:rsidRPr="00970C35">
        <w:rPr>
          <w:rFonts w:ascii="Times New Roman" w:hAnsi="Times New Roman" w:cs="Times New Roman"/>
        </w:rPr>
        <w:t xml:space="preserve"> so that we could calculate Tobin’s </w:t>
      </w:r>
      <w:r w:rsidR="0093481A" w:rsidRPr="00970C35">
        <w:rPr>
          <w:rFonts w:ascii="Times New Roman" w:hAnsi="Times New Roman" w:cs="Times New Roman"/>
        </w:rPr>
        <w:t>q</w:t>
      </w:r>
      <w:r w:rsidRPr="00970C35">
        <w:rPr>
          <w:rFonts w:ascii="Times New Roman" w:hAnsi="Times New Roman" w:cs="Times New Roman"/>
        </w:rPr>
        <w:t xml:space="preserve">, our main proxy for investment opportunities. Since quarterly capital expenditure is only available in year-to-date form in Compustat, we “quarterize” it by converting year-to-date cumulative data into non-cumulative quarterly data. </w:t>
      </w:r>
      <w:r w:rsidR="00525C6D" w:rsidRPr="00970C35">
        <w:rPr>
          <w:rFonts w:ascii="Times New Roman" w:hAnsi="Times New Roman" w:cs="Times New Roman"/>
        </w:rPr>
        <w:t xml:space="preserve">We follow </w:t>
      </w:r>
      <w:r w:rsidR="00525C6D"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"10.1016/j.jfineco.2011.08.009", "ISBN" : "0304405X", "ISSN" : "0304405X", "abstract" : "Investment-cash flow sensitivity has declined and disappeared, even during the 2007-2009 credit crunch. If one believes that financial constraints have not disappeared, then investment-cash flow sensitivity cannot be a good measure of financial constraints. The decline and disappearance are robust to considerations of R&amp;D and cash reserves, and across groups of firms. The information content in cash flow regarding investment opportunities has declined, but measurement error in Tobin's q does not completely explain the patterns in investment-cash flow sensitivity. The decline and disappearance cannot be explained by changes in sample composition, corporate governance, or market power-and remain a puzzle. ?? 2011 Elsevier B.V.", "author" : [ { "dropping-particle" : "", "family" : "Chen", "given" : "Huafeng", "non-dropping-particle" : "", "parse-names" : false, "suffix" : "" }, { "dropping-particle" : "", "family" : "Chen", "given" : "Shaojun", "non-dropping-particle" : "", "parse-names" : false, "suffix" : "" } ], "container-title" : "Journal of Financial Economics", "id" : "ITEM-1", "issue" : "2", "issued" : { "date-parts" : [ [ "2012" ] ] }, "page" : "393-410", "publisher" : "Elsevier", "title" : "Investment-cash flow sensitivity cannot be a good measure of financial constraints: Evidence from the time series", "type" : "article-journal", "volume" : "103" }, "uris" : [ "http://www.mendeley.com/documents/?uuid=455c4363-b047-430f-a67b-6b13abaebcec" ] } ], "mendeley" : { "formattedCitation" : "Chen and Chen (2012)", "plainTextFormattedCitation" : "Chen and Chen (2012)", "previouslyFormattedCitation" : "Chen and Chen (2012)" }, "properties" : { "noteIndex" : 0 }, "schema" : "https://github.com/citation-style-language/schema/raw/master/csl-citation.json" }</w:instrText>
      </w:r>
      <w:r w:rsidR="00525C6D" w:rsidRPr="00970C35">
        <w:rPr>
          <w:rFonts w:ascii="Times New Roman" w:hAnsi="Times New Roman" w:cs="Times New Roman"/>
        </w:rPr>
        <w:fldChar w:fldCharType="separate"/>
      </w:r>
      <w:r w:rsidR="00C462AD" w:rsidRPr="00970C35">
        <w:rPr>
          <w:rFonts w:ascii="Times New Roman" w:hAnsi="Times New Roman" w:cs="Times New Roman"/>
          <w:noProof/>
        </w:rPr>
        <w:t>Chen and Chen (2012)</w:t>
      </w:r>
      <w:r w:rsidR="00525C6D" w:rsidRPr="00970C35">
        <w:rPr>
          <w:rFonts w:ascii="Times New Roman" w:hAnsi="Times New Roman" w:cs="Times New Roman"/>
        </w:rPr>
        <w:fldChar w:fldCharType="end"/>
      </w:r>
      <w:r w:rsidR="00525C6D" w:rsidRPr="00970C35">
        <w:rPr>
          <w:rFonts w:ascii="Times New Roman" w:hAnsi="Times New Roman" w:cs="Times New Roman"/>
        </w:rPr>
        <w:t xml:space="preserve"> and define quarterly c</w:t>
      </w:r>
      <w:r w:rsidRPr="00970C35">
        <w:rPr>
          <w:rFonts w:ascii="Times New Roman" w:hAnsi="Times New Roman" w:cs="Times New Roman"/>
        </w:rPr>
        <w:t xml:space="preserve">ash flow </w:t>
      </w:r>
      <w:r w:rsidR="00525C6D" w:rsidRPr="00970C35">
        <w:rPr>
          <w:rFonts w:ascii="Times New Roman" w:hAnsi="Times New Roman" w:cs="Times New Roman"/>
        </w:rPr>
        <w:t>a</w:t>
      </w:r>
      <w:r w:rsidRPr="00970C35">
        <w:rPr>
          <w:rFonts w:ascii="Times New Roman" w:hAnsi="Times New Roman" w:cs="Times New Roman"/>
        </w:rPr>
        <w:t xml:space="preserve">s </w:t>
      </w:r>
      <w:r w:rsidR="00204BF1" w:rsidRPr="00970C35">
        <w:rPr>
          <w:rFonts w:ascii="Times New Roman" w:hAnsi="Times New Roman" w:cs="Times New Roman"/>
        </w:rPr>
        <w:t>the sum of quarterly income before extraordinary items and depreciation and amortization, divided by firm’s assets</w:t>
      </w:r>
      <w:r w:rsidRPr="00970C35">
        <w:rPr>
          <w:rFonts w:ascii="Times New Roman" w:hAnsi="Times New Roman" w:cs="Times New Roman"/>
        </w:rPr>
        <w:t xml:space="preserve"> at the beginning of </w:t>
      </w:r>
      <w:r w:rsidR="00204BF1" w:rsidRPr="00970C35">
        <w:rPr>
          <w:rFonts w:ascii="Times New Roman" w:hAnsi="Times New Roman" w:cs="Times New Roman"/>
        </w:rPr>
        <w:t>each</w:t>
      </w:r>
      <w:r w:rsidRPr="00970C35">
        <w:rPr>
          <w:rFonts w:ascii="Times New Roman" w:hAnsi="Times New Roman" w:cs="Times New Roman"/>
        </w:rPr>
        <w:t xml:space="preserve"> quarter. </w:t>
      </w:r>
      <w:r w:rsidR="005C0461" w:rsidRPr="00970C35">
        <w:rPr>
          <w:rFonts w:ascii="Times New Roman" w:hAnsi="Times New Roman" w:cs="Times New Roman"/>
        </w:rPr>
        <w:t xml:space="preserve">As in </w:t>
      </w:r>
      <w:r w:rsidR="005C0461"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"10.1016/j.jfineco.2005.12.006", "ISBN" : "0304-405X", "ISSN" : "0304405X", "abstract" : "We investigate how corporate governance impacts firm value by comparing the value and use of cash holdings in poorly and well-governed firms. We show that governance has a substantial impact on value through its impact on cash: $1.00 of cash in a poorly governed firm is valued at only $0.42 to $0.88. Good governance approximately doubles this value. Furthermore, we show that firms with poor corporate governance dissipate cash quickly in ways that significantly reduce operating performance. This negative impact of large cash holdings on future operating performance is cancelled out if the firm is well governed. \u00a9 2006 Elsevier B.V. All rights reserved.", "author" : [ { "dropping-particle" : "", "family" : "Dittmar", "given" : "Amy", "non-dropping-particle" : "", "parse-names" : false, "suffix" : "" }, { "dropping-particle" : "", "family" : "Mahrt-Smith", "given" : "Jan", "non-dropping-particle" : "", "parse-names" : false, "suffix" : "" } ], "container-title" : "Journal of Financial Economics", "id" : "ITEM-1", "issue" : "3", "issued" : { "date-parts" : [ [ "2007" ] ] }, "page" : "599-634", "title" : "Corporate governance and the value of cash holdings", "type" : "article-journal", "volume" : "83" }, "uris" : [ "http://www.mendeley.com/documents/?uuid=4bf9fffb-90e6-4378-872f-dc26b76d249f" ] } ], "mendeley" : { "formattedCitation" : "Dittmar and Mahrt-Smith (2007)", "plainTextFormattedCitation" : "Dittmar and Mahrt-Smith (2007)", "previouslyFormattedCitation" : "Dittmar and Mahrt-Smith (2007)" }, "properties" : { "noteIndex" : 0 }, "schema" : "https://github.com/citation-style-language/schema/raw/master/csl-citation.json" }</w:instrText>
      </w:r>
      <w:r w:rsidR="005C0461" w:rsidRPr="00970C35">
        <w:rPr>
          <w:rFonts w:ascii="Times New Roman" w:hAnsi="Times New Roman" w:cs="Times New Roman"/>
        </w:rPr>
        <w:fldChar w:fldCharType="separate"/>
      </w:r>
      <w:r w:rsidR="00C462AD" w:rsidRPr="00970C35">
        <w:rPr>
          <w:rFonts w:ascii="Times New Roman" w:hAnsi="Times New Roman" w:cs="Times New Roman"/>
          <w:noProof/>
        </w:rPr>
        <w:t>Dittmar and Mahrt-Smith (2007)</w:t>
      </w:r>
      <w:r w:rsidR="005C0461" w:rsidRPr="00970C35">
        <w:rPr>
          <w:rFonts w:ascii="Times New Roman" w:hAnsi="Times New Roman" w:cs="Times New Roman"/>
        </w:rPr>
        <w:fldChar w:fldCharType="end"/>
      </w:r>
      <w:r w:rsidR="005C0461" w:rsidRPr="00970C35">
        <w:rPr>
          <w:rFonts w:ascii="Times New Roman" w:hAnsi="Times New Roman" w:cs="Times New Roman"/>
        </w:rPr>
        <w:t xml:space="preserve">, we define </w:t>
      </w:r>
      <w:r w:rsidR="002B0C4D" w:rsidRPr="00970C35">
        <w:rPr>
          <w:rFonts w:ascii="Times New Roman" w:hAnsi="Times New Roman" w:cs="Times New Roman"/>
        </w:rPr>
        <w:t>free cash flow (FCF)</w:t>
      </w:r>
      <w:r w:rsidR="005C0461" w:rsidRPr="00970C35">
        <w:rPr>
          <w:rFonts w:ascii="Times New Roman" w:hAnsi="Times New Roman" w:cs="Times New Roman"/>
        </w:rPr>
        <w:t xml:space="preserve"> as operating income minus interest expense minus income taxes, scaled by the book value of assets. We use various versions of firm size (SIZE), including total assets, market capitalization, sales, and number of employees. We take natural logarithm of all the SIZE variables. </w:t>
      </w:r>
      <w:r w:rsidRPr="00970C35">
        <w:rPr>
          <w:rFonts w:ascii="Times New Roman" w:hAnsi="Times New Roman" w:cs="Times New Roman"/>
        </w:rPr>
        <w:t xml:space="preserve">Following the literature, we measure beginning-of-quarter Tobin’s </w:t>
      </w:r>
      <w:r w:rsidR="0093481A" w:rsidRPr="00970C35">
        <w:rPr>
          <w:rFonts w:ascii="Times New Roman" w:hAnsi="Times New Roman" w:cs="Times New Roman"/>
        </w:rPr>
        <w:t>q</w:t>
      </w:r>
      <w:r w:rsidRPr="00970C35">
        <w:rPr>
          <w:rFonts w:ascii="Times New Roman" w:hAnsi="Times New Roman" w:cs="Times New Roman"/>
        </w:rPr>
        <w:t xml:space="preserve"> at firm-level as the ratio of the sum of book value of debt and market value of equity over book value of total assets. Alternatively, we follow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"10.1093/rfs/hhp071", "ISBN" : "08939454", "ISSN" : "08939454", "abstract" : "This article documents differences between the Q-sensitivity of investment of stand-alone firms and unrelated segments of conglomerate firms. Unrelated segments exhibit lower Q-sensitivity of investment than stand-alone firms. This fact is driven by unrelated seg- ments of conglomerate firms that tend to invest less than stand-alone firms in high-Q industries. This finding is robust to matching on industry, year, size, age, and profitabil- ity. The differences are more pronounced in conglomerates in which top management has small ownership stakes, suggesting that agency problems explain the investment behavior of conglomerates.", "author" : [ { "dropping-particle" : "", "family" : "Ozbas", "given" : "Oguzhan", "non-dropping-particle" : "", "parse-names" : false, "suffix" : "" }, { "dropping-particle" : "", "family" : "Scharfstein", "given" : "David S.", "non-dropping-particle" : "", "parse-names" : false, "suffix" : "" } ], "container-title" : "Review of Financial Studies", "id" : "ITEM-1", "issued" : { "date-parts" : [ [ "2010" ] ] }, "page" : "581-599", "title" : "Evidence on the dark side of internal capital markets", "type" : "article-journal", "volume" : "23" }, "uris" : [ "http://www.mendeley.com/documents/?uuid=7c83ae2c-ce0a-4a24-ba08-422936eee216" ] } ], "mendeley" : { "formattedCitation" : "Ozbas and Scharfstein (2010)", "plainTextFormattedCitation" : "Ozbas and Scharfstein (2010)", "previouslyFormattedCitation" : "Ozbas and Scharfstein (2010)"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Ozbas and Scharfstein (2010)</w:t>
      </w:r>
      <w:r w:rsidRPr="00970C35">
        <w:rPr>
          <w:rFonts w:ascii="Times New Roman" w:hAnsi="Times New Roman" w:cs="Times New Roman"/>
        </w:rPr>
        <w:fldChar w:fldCharType="end"/>
      </w:r>
      <w:r w:rsidRPr="00970C35">
        <w:rPr>
          <w:rFonts w:ascii="Times New Roman" w:hAnsi="Times New Roman" w:cs="Times New Roman"/>
        </w:rPr>
        <w:t xml:space="preserve"> </w:t>
      </w:r>
      <w:r w:rsidR="0084245F" w:rsidRPr="00970C35">
        <w:rPr>
          <w:rFonts w:ascii="Times New Roman" w:hAnsi="Times New Roman" w:cs="Times New Roman"/>
        </w:rPr>
        <w:t>and</w:t>
      </w:r>
      <w:r w:rsidRPr="00970C35">
        <w:rPr>
          <w:rFonts w:ascii="Times New Roman" w:hAnsi="Times New Roman" w:cs="Times New Roman"/>
        </w:rPr>
        <w:t xml:space="preserve"> use median industry-year </w:t>
      </w:r>
      <w:r w:rsidR="0093481A" w:rsidRPr="00970C35">
        <w:rPr>
          <w:rFonts w:ascii="Times New Roman" w:hAnsi="Times New Roman" w:cs="Times New Roman"/>
        </w:rPr>
        <w:t>q</w:t>
      </w:r>
      <w:r w:rsidRPr="00970C35">
        <w:rPr>
          <w:rFonts w:ascii="Times New Roman" w:hAnsi="Times New Roman" w:cs="Times New Roman"/>
        </w:rPr>
        <w:t xml:space="preserve"> (bounded above at 10) for investment opportunities</w:t>
      </w:r>
      <w:r w:rsidR="00A41B7A" w:rsidRPr="00970C35">
        <w:rPr>
          <w:rFonts w:ascii="Times New Roman" w:hAnsi="Times New Roman" w:cs="Times New Roman"/>
        </w:rPr>
        <w:t>. F</w:t>
      </w:r>
      <w:r w:rsidRPr="00970C35">
        <w:rPr>
          <w:rFonts w:ascii="Times New Roman" w:hAnsi="Times New Roman" w:cs="Times New Roman"/>
        </w:rPr>
        <w:t xml:space="preserve">ollowing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"author" : [ { "dropping-particle" : "", "family" : "Ozbas", "given" : "Oguzhan", "non-dropping-particle" : "", "parse-names" : false, "suffix" : "" }, { "dropping-particle" : "", "family" : "Selvili", "given" : "Zekiye A", "non-dropping-particle" : "", "parse-names" : false, "suffix" : "" } ], "container-title" : "Working Paper", "id" : "ITEM-1", "issue" : "October", "issued" : { "date-parts" : [ [ "2009" ] ] }, "title" : "Organizational Scope and Allocation of Resources : Evidence on Rigid Capital Budgets", "type" : "article-journal" }, "uris" : [ "http://www.mendeley.com/documents/?uuid=e0e6fee9-96c6-45e1-bb9d-a036b5619b92" ] } ], "mendeley" : { "formattedCitation" : "Ozbas and Selvili (2009)", "plainTextFormattedCitation" : "Ozbas and Selvili (2009)", "previouslyFormattedCitation" : "Ozbas and Selvili (2009)"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Ozbas and Selvili (2009)</w:t>
      </w:r>
      <w:r w:rsidRPr="00970C35">
        <w:rPr>
          <w:rFonts w:ascii="Times New Roman" w:hAnsi="Times New Roman" w:cs="Times New Roman"/>
        </w:rPr>
        <w:fldChar w:fldCharType="end"/>
      </w:r>
      <w:r w:rsidRPr="00970C35">
        <w:rPr>
          <w:rFonts w:ascii="Times New Roman" w:hAnsi="Times New Roman" w:cs="Times New Roman"/>
        </w:rPr>
        <w:t xml:space="preserve">, </w:t>
      </w:r>
      <w:r w:rsidR="00A42484" w:rsidRPr="00970C35">
        <w:rPr>
          <w:rFonts w:ascii="Times New Roman" w:hAnsi="Times New Roman" w:cs="Times New Roman"/>
        </w:rPr>
        <w:t>we</w:t>
      </w:r>
      <w:r w:rsidRPr="00970C35">
        <w:rPr>
          <w:rFonts w:ascii="Times New Roman" w:hAnsi="Times New Roman" w:cs="Times New Roman"/>
        </w:rPr>
        <w:t xml:space="preserve"> use median country-calendar-year-industry median sales-normalized CapEx as an</w:t>
      </w:r>
      <w:r w:rsidR="00A41B7A" w:rsidRPr="00970C35">
        <w:rPr>
          <w:rFonts w:ascii="Times New Roman" w:hAnsi="Times New Roman" w:cs="Times New Roman"/>
        </w:rPr>
        <w:t>other</w:t>
      </w:r>
      <w:r w:rsidRPr="00970C35">
        <w:rPr>
          <w:rFonts w:ascii="Times New Roman" w:hAnsi="Times New Roman" w:cs="Times New Roman"/>
        </w:rPr>
        <w:t xml:space="preserve"> alternative proxy for investment opportunities. The results are similar</w:t>
      </w:r>
      <w:r w:rsidR="0084245F" w:rsidRPr="00970C35">
        <w:rPr>
          <w:rFonts w:ascii="Times New Roman" w:hAnsi="Times New Roman" w:cs="Times New Roman"/>
        </w:rPr>
        <w:t xml:space="preserve"> to those using firm-level </w:t>
      </w:r>
      <w:r w:rsidR="0093481A" w:rsidRPr="00970C35">
        <w:rPr>
          <w:rFonts w:ascii="Times New Roman" w:hAnsi="Times New Roman" w:cs="Times New Roman"/>
        </w:rPr>
        <w:t>q</w:t>
      </w:r>
      <w:r w:rsidR="00A41B7A" w:rsidRPr="00970C35">
        <w:rPr>
          <w:rFonts w:ascii="Times New Roman" w:hAnsi="Times New Roman" w:cs="Times New Roman"/>
        </w:rPr>
        <w:t xml:space="preserve"> as</w:t>
      </w:r>
      <w:r w:rsidR="004E42E7" w:rsidRPr="00970C35">
        <w:rPr>
          <w:rFonts w:ascii="Times New Roman" w:hAnsi="Times New Roman" w:cs="Times New Roman"/>
        </w:rPr>
        <w:t xml:space="preserve"> a</w:t>
      </w:r>
      <w:r w:rsidR="00A41B7A" w:rsidRPr="00970C35">
        <w:rPr>
          <w:rFonts w:ascii="Times New Roman" w:hAnsi="Times New Roman" w:cs="Times New Roman"/>
        </w:rPr>
        <w:t xml:space="preserve"> proxy for investment opportunity</w:t>
      </w:r>
      <w:r w:rsidRPr="00970C35">
        <w:rPr>
          <w:rFonts w:ascii="Times New Roman" w:hAnsi="Times New Roman" w:cs="Times New Roman"/>
        </w:rPr>
        <w:t>.</w:t>
      </w:r>
      <w:r w:rsidR="00A41B7A" w:rsidRPr="00970C35">
        <w:rPr>
          <w:rFonts w:ascii="Times New Roman" w:hAnsi="Times New Roman" w:cs="Times New Roman"/>
        </w:rPr>
        <w:t xml:space="preserve"> </w:t>
      </w:r>
      <w:r w:rsidRPr="00970C35">
        <w:rPr>
          <w:rFonts w:ascii="Times New Roman" w:hAnsi="Times New Roman" w:cs="Times New Roman"/>
        </w:rPr>
        <w:t xml:space="preserve">We exclude </w:t>
      </w:r>
      <w:r w:rsidRPr="00970C35">
        <w:rPr>
          <w:rFonts w:ascii="Times New Roman" w:hAnsi="Times New Roman" w:cs="Times New Roman"/>
        </w:rPr>
        <w:lastRenderedPageBreak/>
        <w:t>companies from financial services (4900</w:t>
      </w:r>
      <w:r w:rsidR="004E42E7" w:rsidRPr="00970C35">
        <w:rPr>
          <w:rFonts w:ascii="Times New Roman" w:hAnsi="Times New Roman" w:cs="Times New Roman"/>
        </w:rPr>
        <w:t>–</w:t>
      </w:r>
      <w:r w:rsidRPr="00970C35">
        <w:rPr>
          <w:rFonts w:ascii="Times New Roman" w:hAnsi="Times New Roman" w:cs="Times New Roman"/>
        </w:rPr>
        <w:t>4949), utilities (6000</w:t>
      </w:r>
      <w:r w:rsidR="004E42E7" w:rsidRPr="00970C35">
        <w:rPr>
          <w:rFonts w:ascii="Times New Roman" w:hAnsi="Times New Roman" w:cs="Times New Roman"/>
        </w:rPr>
        <w:t>–</w:t>
      </w:r>
      <w:r w:rsidRPr="00970C35">
        <w:rPr>
          <w:rFonts w:ascii="Times New Roman" w:hAnsi="Times New Roman" w:cs="Times New Roman"/>
        </w:rPr>
        <w:t>6999), and public administration (≥9000)</w:t>
      </w:r>
      <w:r w:rsidRPr="00970C35">
        <w:rPr>
          <w:rStyle w:val="ac"/>
          <w:rFonts w:ascii="Times New Roman" w:hAnsi="Times New Roman" w:cs="Times New Roman"/>
        </w:rPr>
        <w:footnoteReference w:id="6"/>
      </w:r>
      <w:r w:rsidRPr="00970C35">
        <w:rPr>
          <w:rFonts w:ascii="Times New Roman" w:hAnsi="Times New Roman" w:cs="Times New Roman"/>
        </w:rPr>
        <w:t>. In addition, we use foreign exchange rate data to convert foreign currencies into U</w:t>
      </w:r>
      <w:r w:rsidR="004E42E7" w:rsidRPr="00970C35">
        <w:rPr>
          <w:rFonts w:ascii="Times New Roman" w:hAnsi="Times New Roman" w:cs="Times New Roman"/>
        </w:rPr>
        <w:t>.</w:t>
      </w:r>
      <w:r w:rsidRPr="00970C35">
        <w:rPr>
          <w:rFonts w:ascii="Times New Roman" w:hAnsi="Times New Roman" w:cs="Times New Roman"/>
        </w:rPr>
        <w:t>S</w:t>
      </w:r>
      <w:r w:rsidR="004E42E7" w:rsidRPr="00970C35">
        <w:rPr>
          <w:rFonts w:ascii="Times New Roman" w:hAnsi="Times New Roman" w:cs="Times New Roman"/>
        </w:rPr>
        <w:t>.</w:t>
      </w:r>
      <w:r w:rsidRPr="00970C35">
        <w:rPr>
          <w:rFonts w:ascii="Times New Roman" w:hAnsi="Times New Roman" w:cs="Times New Roman"/>
        </w:rPr>
        <w:t xml:space="preserve"> </w:t>
      </w:r>
      <w:r w:rsidR="004E42E7" w:rsidRPr="00970C35">
        <w:rPr>
          <w:rFonts w:ascii="Times New Roman" w:hAnsi="Times New Roman" w:cs="Times New Roman"/>
        </w:rPr>
        <w:t>d</w:t>
      </w:r>
      <w:r w:rsidRPr="00970C35">
        <w:rPr>
          <w:rFonts w:ascii="Times New Roman" w:hAnsi="Times New Roman" w:cs="Times New Roman"/>
        </w:rPr>
        <w:t xml:space="preserve">ollars and then normalize </w:t>
      </w:r>
      <w:r w:rsidR="004E42E7" w:rsidRPr="00970C35">
        <w:rPr>
          <w:rFonts w:ascii="Times New Roman" w:hAnsi="Times New Roman" w:cs="Times New Roman"/>
        </w:rPr>
        <w:t>d</w:t>
      </w:r>
      <w:r w:rsidRPr="00970C35">
        <w:rPr>
          <w:rFonts w:ascii="Times New Roman" w:hAnsi="Times New Roman" w:cs="Times New Roman"/>
        </w:rPr>
        <w:t xml:space="preserve">ollar-value variables to beginning of year 2000 </w:t>
      </w:r>
      <w:r w:rsidR="004E42E7" w:rsidRPr="00970C35">
        <w:rPr>
          <w:rFonts w:ascii="Times New Roman" w:hAnsi="Times New Roman" w:cs="Times New Roman"/>
        </w:rPr>
        <w:t>d</w:t>
      </w:r>
      <w:r w:rsidRPr="00970C35">
        <w:rPr>
          <w:rFonts w:ascii="Times New Roman" w:hAnsi="Times New Roman" w:cs="Times New Roman"/>
        </w:rPr>
        <w:t xml:space="preserve">ollars. </w:t>
      </w:r>
    </w:p>
    <w:p w:rsidR="00821BD4" w:rsidRPr="00970C35" w:rsidRDefault="00821BD4" w:rsidP="000D4724">
      <w:pPr>
        <w:spacing w:after="120" w:line="480" w:lineRule="auto"/>
        <w:ind w:firstLine="288"/>
        <w:jc w:val="both"/>
        <w:rPr>
          <w:rFonts w:ascii="Times New Roman" w:hAnsi="Times New Roman" w:cs="Times New Roman"/>
        </w:rPr>
      </w:pPr>
      <w:r w:rsidRPr="00970C35">
        <w:rPr>
          <w:rFonts w:ascii="Times New Roman" w:hAnsi="Times New Roman" w:cs="Times New Roman"/>
        </w:rPr>
        <w:t xml:space="preserve">Next, </w:t>
      </w:r>
      <w:r w:rsidR="00EF1206" w:rsidRPr="00970C35">
        <w:rPr>
          <w:rFonts w:ascii="Times New Roman" w:hAnsi="Times New Roman" w:cs="Times New Roman"/>
        </w:rPr>
        <w:t xml:space="preserve">we </w:t>
      </w:r>
      <w:r w:rsidRPr="00970C35">
        <w:rPr>
          <w:rFonts w:ascii="Times New Roman" w:hAnsi="Times New Roman" w:cs="Times New Roman"/>
        </w:rPr>
        <w:t>drop firm-year observations with</w:t>
      </w:r>
      <w:r w:rsidR="004E42E7" w:rsidRPr="00970C35">
        <w:rPr>
          <w:rFonts w:ascii="Times New Roman" w:hAnsi="Times New Roman" w:cs="Times New Roman"/>
        </w:rPr>
        <w:t>:</w:t>
      </w:r>
      <w:r w:rsidRPr="00970C35">
        <w:rPr>
          <w:rFonts w:ascii="Times New Roman" w:hAnsi="Times New Roman" w:cs="Times New Roman"/>
        </w:rPr>
        <w:t xml:space="preserve"> (i) change in fiscal year end, (ii) missing or extreme values on important variables</w:t>
      </w:r>
      <w:r w:rsidRPr="00970C35">
        <w:rPr>
          <w:rStyle w:val="ac"/>
          <w:rFonts w:ascii="Times New Roman" w:hAnsi="Times New Roman" w:cs="Times New Roman"/>
        </w:rPr>
        <w:footnoteReference w:id="7"/>
      </w:r>
      <w:r w:rsidRPr="00970C35">
        <w:rPr>
          <w:rFonts w:ascii="Times New Roman" w:hAnsi="Times New Roman" w:cs="Times New Roman"/>
        </w:rPr>
        <w:t xml:space="preserve">, (iii) firm data for fewer than two years, (iv) data for a certain firm in a certain year that are missing either in the </w:t>
      </w:r>
      <w:r w:rsidR="004E42E7" w:rsidRPr="00970C35">
        <w:rPr>
          <w:rFonts w:ascii="Times New Roman" w:hAnsi="Times New Roman" w:cs="Times New Roman"/>
        </w:rPr>
        <w:t>fourth</w:t>
      </w:r>
      <w:r w:rsidRPr="00970C35">
        <w:rPr>
          <w:rFonts w:ascii="Times New Roman" w:hAnsi="Times New Roman" w:cs="Times New Roman"/>
        </w:rPr>
        <w:t xml:space="preserve"> fiscal quarter</w:t>
      </w:r>
      <w:r w:rsidR="004E42E7" w:rsidRPr="00970C35">
        <w:rPr>
          <w:rFonts w:ascii="Times New Roman" w:hAnsi="Times New Roman" w:cs="Times New Roman"/>
        </w:rPr>
        <w:t>,</w:t>
      </w:r>
      <w:r w:rsidRPr="00970C35">
        <w:rPr>
          <w:rFonts w:ascii="Times New Roman" w:hAnsi="Times New Roman" w:cs="Times New Roman"/>
        </w:rPr>
        <w:t xml:space="preserve"> or in all of the first three fiscal quarters</w:t>
      </w:r>
      <w:r w:rsidRPr="00970C35">
        <w:rPr>
          <w:rStyle w:val="ac"/>
          <w:rFonts w:ascii="Times New Roman" w:hAnsi="Times New Roman" w:cs="Times New Roman"/>
        </w:rPr>
        <w:footnoteReference w:id="8"/>
      </w:r>
      <w:r w:rsidRPr="00970C35">
        <w:rPr>
          <w:rFonts w:ascii="Times New Roman" w:hAnsi="Times New Roman" w:cs="Times New Roman"/>
        </w:rPr>
        <w:t>, and countries that</w:t>
      </w:r>
      <w:r w:rsidR="004E42E7" w:rsidRPr="00970C35">
        <w:rPr>
          <w:rFonts w:ascii="Times New Roman" w:hAnsi="Times New Roman" w:cs="Times New Roman"/>
        </w:rPr>
        <w:t>:</w:t>
      </w:r>
      <w:r w:rsidRPr="00970C35">
        <w:rPr>
          <w:rFonts w:ascii="Times New Roman" w:hAnsi="Times New Roman" w:cs="Times New Roman"/>
        </w:rPr>
        <w:t xml:space="preserve"> (a) are tax havens such as Bermuda and Cayman Islands, </w:t>
      </w:r>
      <w:r w:rsidR="004E42E7" w:rsidRPr="00970C35">
        <w:rPr>
          <w:rFonts w:ascii="Times New Roman" w:hAnsi="Times New Roman" w:cs="Times New Roman"/>
        </w:rPr>
        <w:t xml:space="preserve">and </w:t>
      </w:r>
      <w:r w:rsidRPr="00970C35">
        <w:rPr>
          <w:rFonts w:ascii="Times New Roman" w:hAnsi="Times New Roman" w:cs="Times New Roman"/>
        </w:rPr>
        <w:t xml:space="preserve">(b) have fewer than 50 firms in </w:t>
      </w:r>
      <w:r w:rsidR="004E42E7" w:rsidRPr="00970C35">
        <w:rPr>
          <w:rFonts w:ascii="Times New Roman" w:hAnsi="Times New Roman" w:cs="Times New Roman"/>
        </w:rPr>
        <w:t xml:space="preserve">the </w:t>
      </w:r>
      <w:r w:rsidRPr="00970C35">
        <w:rPr>
          <w:rFonts w:ascii="Times New Roman" w:hAnsi="Times New Roman" w:cs="Times New Roman"/>
        </w:rPr>
        <w:t>Compustat database</w:t>
      </w:r>
      <w:r w:rsidRPr="00970C35">
        <w:rPr>
          <w:rStyle w:val="ac"/>
          <w:rFonts w:ascii="Times New Roman" w:hAnsi="Times New Roman" w:cs="Times New Roman"/>
        </w:rPr>
        <w:footnoteReference w:id="9"/>
      </w:r>
      <w:r w:rsidRPr="00970C35">
        <w:rPr>
          <w:rFonts w:ascii="Times New Roman" w:hAnsi="Times New Roman" w:cs="Times New Roman"/>
        </w:rPr>
        <w:t xml:space="preserve">. </w:t>
      </w:r>
      <w:r w:rsidR="0084245F" w:rsidRPr="00970C35">
        <w:rPr>
          <w:rFonts w:ascii="Times New Roman" w:hAnsi="Times New Roman" w:cs="Times New Roman"/>
        </w:rPr>
        <w:t>W</w:t>
      </w:r>
      <w:r w:rsidRPr="00970C35">
        <w:rPr>
          <w:rFonts w:ascii="Times New Roman" w:hAnsi="Times New Roman" w:cs="Times New Roman"/>
        </w:rPr>
        <w:t xml:space="preserve">e winsorize all </w:t>
      </w:r>
      <w:r w:rsidR="00ED5C44" w:rsidRPr="00970C35">
        <w:rPr>
          <w:rFonts w:ascii="Times New Roman" w:hAnsi="Times New Roman" w:cs="Times New Roman"/>
        </w:rPr>
        <w:t>key</w:t>
      </w:r>
      <w:r w:rsidRPr="00970C35">
        <w:rPr>
          <w:rFonts w:ascii="Times New Roman" w:hAnsi="Times New Roman" w:cs="Times New Roman"/>
        </w:rPr>
        <w:t xml:space="preserve"> variables at the top and bottom one percentiles of their distributions within each fiscal quarter</w:t>
      </w:r>
      <w:r w:rsidR="0084245F" w:rsidRPr="00970C35">
        <w:rPr>
          <w:rFonts w:ascii="Times New Roman" w:hAnsi="Times New Roman" w:cs="Times New Roman"/>
        </w:rPr>
        <w:t>.</w:t>
      </w:r>
      <w:r w:rsidRPr="00970C35">
        <w:rPr>
          <w:rFonts w:ascii="Times New Roman" w:hAnsi="Times New Roman" w:cs="Times New Roman"/>
        </w:rPr>
        <w:t xml:space="preserve"> </w:t>
      </w:r>
      <w:r w:rsidR="0084245F" w:rsidRPr="00970C35">
        <w:rPr>
          <w:rFonts w:ascii="Times New Roman" w:hAnsi="Times New Roman" w:cs="Times New Roman"/>
        </w:rPr>
        <w:t>A</w:t>
      </w:r>
      <w:r w:rsidRPr="00970C35">
        <w:rPr>
          <w:rFonts w:ascii="Times New Roman" w:hAnsi="Times New Roman" w:cs="Times New Roman"/>
        </w:rPr>
        <w:t>nd</w:t>
      </w:r>
      <w:r w:rsidR="0084245F" w:rsidRPr="00970C35">
        <w:rPr>
          <w:rFonts w:ascii="Times New Roman" w:hAnsi="Times New Roman" w:cs="Times New Roman"/>
        </w:rPr>
        <w:t xml:space="preserve"> finally,</w:t>
      </w:r>
      <w:r w:rsidRPr="00970C35">
        <w:rPr>
          <w:rFonts w:ascii="Times New Roman" w:hAnsi="Times New Roman" w:cs="Times New Roman"/>
        </w:rPr>
        <w:t xml:space="preserve"> following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"10.1016/j.jfineco.2009.12.008", "ISBN" : "0304-405X", "ISSN" : "0304405X", "abstract" : "We study the effect of the recent financial crisis on corporate investment. The crisis represents an unexplored negative shock to the supply of external finance for non-financial firms. Corporate investment declines significantly following the onset of the crisis, controlling for firm fixed effects and time-varying measures of investment opportunities. Consistent with a causal effect of a supply shock, the decline is greatest for firms that have low cash reserves or high net short-term debt, are financially constrained, or operate in industries dependent on external finance. To address endogeneity concerns, we measure firms' financial positions as much as four years prior to the crisis, and confirm that similar results do not follow placebo crises in the summers of 2003-2006. Nor do similar results follow the negative demand shock caused by September 11, 2001. The effects weaken considerably beginning in the third quarter of 2008, when the demand-side effects of the crisis became apparent. Additional analysis suggests an important precautionary savings motive for seemingly excess cash that is generally overlooked in the literature. ?? 2010 Elsevier B.V.", "author" : [ { "dropping-particle" : "", "family" : "Duchin", "given" : "Ran", "non-dropping-particle" : "", "parse-names" : false, "suffix" : "" }, { "dropping-particle" : "", "family" : "Ozbas", "given" : "Oguzhan", "non-dropping-particle" : "", "parse-names" : false, "suffix" : "" }, { "dropping-particle" : "", "family" : "Sensoy", "given" : "Berk a.", "non-dropping-particle" : "", "parse-names" : false, "suffix" : "" } ], "container-title" : "Journal of Financial Economics", "id" : "ITEM-1", "issue" : "3", "issued" : { "date-parts" : [ [ "2010" ] ] }, "page" : "418-435", "publisher" : "Elsevier", "title" : "Costly external finance, corporate investment, and the subprime mortgage credit crisis", "type" : "article-journal", "volume" : "97" }, "uris" : [ "http://www.mendeley.com/documents/?uuid=dbfef90d-bbc3-417e-8926-6f568038a705" ] } ], "mendeley" : { "formattedCitation" : "Duchin, Ozbas, and Sensoy (2010)", "plainTextFormattedCitation" : "Duchin, Ozbas, and Sensoy (2010)", "previouslyFormattedCitation" : "Duchin, Ozbas, and Sensoy (2010)"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Duchin, Ozbas, and Sensoy (2010)</w:t>
      </w:r>
      <w:r w:rsidRPr="00970C35">
        <w:rPr>
          <w:rFonts w:ascii="Times New Roman" w:hAnsi="Times New Roman" w:cs="Times New Roman"/>
        </w:rPr>
        <w:fldChar w:fldCharType="end"/>
      </w:r>
      <w:r w:rsidR="0084245F" w:rsidRPr="00970C35">
        <w:rPr>
          <w:rFonts w:ascii="Times New Roman" w:hAnsi="Times New Roman" w:cs="Times New Roman"/>
        </w:rPr>
        <w:t>,</w:t>
      </w:r>
      <w:r w:rsidRPr="00970C35">
        <w:rPr>
          <w:rFonts w:ascii="Times New Roman" w:hAnsi="Times New Roman" w:cs="Times New Roman"/>
        </w:rPr>
        <w:t xml:space="preserve"> we bound </w:t>
      </w:r>
      <w:r w:rsidR="0093481A" w:rsidRPr="00970C35">
        <w:rPr>
          <w:rFonts w:ascii="Times New Roman" w:hAnsi="Times New Roman" w:cs="Times New Roman"/>
        </w:rPr>
        <w:t>q</w:t>
      </w:r>
      <w:r w:rsidRPr="00970C35">
        <w:rPr>
          <w:rFonts w:ascii="Times New Roman" w:hAnsi="Times New Roman" w:cs="Times New Roman"/>
        </w:rPr>
        <w:t xml:space="preserve"> at 10 because winsorized </w:t>
      </w:r>
      <w:r w:rsidR="0093481A" w:rsidRPr="00970C35">
        <w:rPr>
          <w:rFonts w:ascii="Times New Roman" w:hAnsi="Times New Roman" w:cs="Times New Roman"/>
        </w:rPr>
        <w:t>q</w:t>
      </w:r>
      <w:r w:rsidRPr="00970C35">
        <w:rPr>
          <w:rFonts w:ascii="Times New Roman" w:hAnsi="Times New Roman" w:cs="Times New Roman"/>
        </w:rPr>
        <w:t xml:space="preserve"> </w:t>
      </w:r>
      <w:r w:rsidR="0084245F" w:rsidRPr="00970C35">
        <w:rPr>
          <w:rFonts w:ascii="Times New Roman" w:hAnsi="Times New Roman" w:cs="Times New Roman"/>
        </w:rPr>
        <w:t>may still exceed</w:t>
      </w:r>
      <w:r w:rsidRPr="00970C35">
        <w:rPr>
          <w:rFonts w:ascii="Times New Roman" w:hAnsi="Times New Roman" w:cs="Times New Roman"/>
        </w:rPr>
        <w:t xml:space="preserve"> 10 in our sample.</w:t>
      </w:r>
    </w:p>
    <w:p w:rsidR="00821BD4" w:rsidRPr="00970C35" w:rsidRDefault="00BF7092" w:rsidP="00821BD4">
      <w:pPr>
        <w:spacing w:after="0" w:line="480" w:lineRule="auto"/>
        <w:jc w:val="both"/>
        <w:rPr>
          <w:rFonts w:ascii="Times New Roman" w:hAnsi="Times New Roman" w:cs="Times New Roman"/>
        </w:rPr>
      </w:pPr>
      <w:r w:rsidRPr="00970C35">
        <w:rPr>
          <w:rFonts w:ascii="Times New Roman" w:hAnsi="Times New Roman" w:cs="Times New Roman"/>
        </w:rPr>
        <w:t>3</w:t>
      </w:r>
      <w:r w:rsidR="00821BD4" w:rsidRPr="00970C35">
        <w:rPr>
          <w:rFonts w:ascii="Times New Roman" w:hAnsi="Times New Roman" w:cs="Times New Roman"/>
        </w:rPr>
        <w:t xml:space="preserve">.2. Summary </w:t>
      </w:r>
      <w:r w:rsidR="002D0C41" w:rsidRPr="00970C35">
        <w:rPr>
          <w:rFonts w:ascii="Times New Roman" w:hAnsi="Times New Roman" w:cs="Times New Roman"/>
        </w:rPr>
        <w:t>S</w:t>
      </w:r>
      <w:r w:rsidR="00821BD4" w:rsidRPr="00970C35">
        <w:rPr>
          <w:rFonts w:ascii="Times New Roman" w:hAnsi="Times New Roman" w:cs="Times New Roman"/>
        </w:rPr>
        <w:t>tatistics</w:t>
      </w:r>
    </w:p>
    <w:p w:rsidR="00821BD4" w:rsidRPr="00970C35" w:rsidRDefault="00821BD4" w:rsidP="00821BD4">
      <w:pPr>
        <w:spacing w:after="0" w:line="480" w:lineRule="auto"/>
        <w:jc w:val="both"/>
        <w:rPr>
          <w:rFonts w:ascii="Times New Roman" w:hAnsi="Times New Roman" w:cs="Times New Roman"/>
        </w:rPr>
      </w:pPr>
      <w:r w:rsidRPr="00970C35">
        <w:rPr>
          <w:rFonts w:ascii="Times New Roman" w:hAnsi="Times New Roman" w:cs="Times New Roman"/>
        </w:rPr>
        <w:t>After this data cleaning process, we end up with an unbalanced panel of roughly 2</w:t>
      </w:r>
      <w:r w:rsidR="00A908EF" w:rsidRPr="00970C35">
        <w:rPr>
          <w:rFonts w:ascii="Times New Roman" w:hAnsi="Times New Roman" w:cs="Times New Roman"/>
        </w:rPr>
        <w:t>32</w:t>
      </w:r>
      <w:r w:rsidRPr="00970C35">
        <w:rPr>
          <w:rFonts w:ascii="Times New Roman" w:hAnsi="Times New Roman" w:cs="Times New Roman"/>
        </w:rPr>
        <w:t>,000 firm-year-quarter observations that contain about 10,000 firms during our 10-year sample period across 41 countries. Table 1 provides descriptive statistics on various firm and country variables. We scale quarterly capital expenditure by total assets at the beginning of quarter to construct the first version (CapEx), and by property, plant and equipment at the beginning of quarter for the second version (CapEx_PPE). We then multiply the two ratios by 100 to create the percentage versions so that we can observe</w:t>
      </w:r>
      <w:r w:rsidR="0084245F" w:rsidRPr="00970C35">
        <w:rPr>
          <w:rFonts w:ascii="Times New Roman" w:hAnsi="Times New Roman" w:cs="Times New Roman"/>
        </w:rPr>
        <w:t xml:space="preserve"> and interpret</w:t>
      </w:r>
      <w:r w:rsidRPr="00970C35">
        <w:rPr>
          <w:rFonts w:ascii="Times New Roman" w:hAnsi="Times New Roman" w:cs="Times New Roman"/>
        </w:rPr>
        <w:t xml:space="preserve"> the results more easily, but we do not do the same for other scaled variables. Following the corporate investment literature, we </w:t>
      </w:r>
      <w:r w:rsidR="007974DF" w:rsidRPr="00970C35">
        <w:rPr>
          <w:rFonts w:ascii="Times New Roman" w:hAnsi="Times New Roman" w:cs="Times New Roman"/>
        </w:rPr>
        <w:t>control for</w:t>
      </w:r>
      <w:r w:rsidRPr="00970C35">
        <w:rPr>
          <w:rFonts w:ascii="Times New Roman" w:hAnsi="Times New Roman" w:cs="Times New Roman"/>
        </w:rPr>
        <w:t xml:space="preserve"> quarterly cash flow,</w:t>
      </w:r>
      <w:r w:rsidR="00F1283A" w:rsidRPr="00970C35">
        <w:rPr>
          <w:rFonts w:ascii="Times New Roman" w:hAnsi="Times New Roman" w:cs="Times New Roman"/>
        </w:rPr>
        <w:t xml:space="preserve"> and</w:t>
      </w:r>
      <w:r w:rsidRPr="00970C35">
        <w:rPr>
          <w:rFonts w:ascii="Times New Roman" w:hAnsi="Times New Roman" w:cs="Times New Roman"/>
        </w:rPr>
        <w:t xml:space="preserve"> </w:t>
      </w:r>
      <w:r w:rsidR="007974DF" w:rsidRPr="00970C35">
        <w:rPr>
          <w:rFonts w:ascii="Times New Roman" w:hAnsi="Times New Roman" w:cs="Times New Roman"/>
        </w:rPr>
        <w:t xml:space="preserve">include </w:t>
      </w:r>
      <w:r w:rsidRPr="00970C35">
        <w:rPr>
          <w:rFonts w:ascii="Times New Roman" w:hAnsi="Times New Roman" w:cs="Times New Roman"/>
        </w:rPr>
        <w:t xml:space="preserve">Tobin’s </w:t>
      </w:r>
      <w:r w:rsidR="0093481A" w:rsidRPr="00970C35">
        <w:rPr>
          <w:rFonts w:ascii="Times New Roman" w:hAnsi="Times New Roman" w:cs="Times New Roman"/>
        </w:rPr>
        <w:t>q</w:t>
      </w:r>
      <w:r w:rsidRPr="00970C35">
        <w:rPr>
          <w:rFonts w:ascii="Times New Roman" w:hAnsi="Times New Roman" w:cs="Times New Roman"/>
        </w:rPr>
        <w:t xml:space="preserve"> at the beginning of each quarter as</w:t>
      </w:r>
      <w:r w:rsidR="004E42E7" w:rsidRPr="00970C35">
        <w:rPr>
          <w:rFonts w:ascii="Times New Roman" w:hAnsi="Times New Roman" w:cs="Times New Roman"/>
        </w:rPr>
        <w:t xml:space="preserve"> a</w:t>
      </w:r>
      <w:r w:rsidRPr="00970C35">
        <w:rPr>
          <w:rFonts w:ascii="Times New Roman" w:hAnsi="Times New Roman" w:cs="Times New Roman"/>
        </w:rPr>
        <w:t xml:space="preserve"> prox</w:t>
      </w:r>
      <w:r w:rsidR="00D27556" w:rsidRPr="00970C35">
        <w:rPr>
          <w:rFonts w:ascii="Times New Roman" w:hAnsi="Times New Roman" w:cs="Times New Roman"/>
        </w:rPr>
        <w:t>y</w:t>
      </w:r>
      <w:r w:rsidR="00F1283A" w:rsidRPr="00970C35">
        <w:rPr>
          <w:rFonts w:ascii="Times New Roman" w:hAnsi="Times New Roman" w:cs="Times New Roman"/>
        </w:rPr>
        <w:t xml:space="preserve"> for firm</w:t>
      </w:r>
      <w:r w:rsidR="004E42E7" w:rsidRPr="00970C35">
        <w:rPr>
          <w:rFonts w:ascii="Times New Roman" w:hAnsi="Times New Roman" w:cs="Times New Roman"/>
        </w:rPr>
        <w:t>s</w:t>
      </w:r>
      <w:r w:rsidR="00F1283A" w:rsidRPr="00970C35">
        <w:rPr>
          <w:rFonts w:ascii="Times New Roman" w:hAnsi="Times New Roman" w:cs="Times New Roman"/>
        </w:rPr>
        <w:t>’</w:t>
      </w:r>
      <w:r w:rsidRPr="00970C35">
        <w:rPr>
          <w:rFonts w:ascii="Times New Roman" w:hAnsi="Times New Roman" w:cs="Times New Roman"/>
        </w:rPr>
        <w:t xml:space="preserve"> investment opportunities. Following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"10.1016/S0929-1199(01)00033-5", "ISBN" : "0929-1199", "ISSN" : "09291199", "abstract" : "Using the quarterly Compustat files, we present empirical findings that business capital investment is significantly higher in the fourth quarter than in other quarters. Even after controlling for business capital investment determinants, we find that the fourth quarter capital investment is significantly larger but less sensitive to investment opportunities than other quarters' capital investment. This phenomenon is more evident for firms with larger cash holdings than for firms with smaller cash holdings, for larger firms than for smaller firms, and for diversified firms than for stand-alone firms. Our findings suggest a high level of agency costs in corporate investment decisions. ?? 2002 Elsevier Science B.V. All rights reserved.", "author" : [ { "dropping-particle" : "", "family" : "Shin", "given" : "Hyun-Han", "non-dropping-particle" : "", "parse-names" : false, "suffix" : "" }, { "dropping-particle" : "", "family" : "Kim", "given" : "Yong H.", "non-dropping-particle" : "", "parse-names" : false, "suffix" : "" } ], "container-title" : "Journal of Corporate Finance", "id" : "ITEM-1", "issued" : { "date-parts" : [ [ "2002" ] ] }, "page" : "139-158", "title" : "Agency costs and efficiency of business capital investment: Evidence from quarterly capital expenditures", "type" : "article-journal", "volume" : "8" }, "uris" : [ "http://www.mendeley.com/documents/?uuid=1ecc75bf-057a-4382-be94-515f54fd7cd6" ] } ], "mendeley" : { "formattedCitation" : "Shin and Kim (2002)", "plainTextFormattedCitation" : "Shin and Kim (2002)", "previouslyFormattedCitation" : "Shin and Kim (2002)"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Shin and Kim (2002)</w:t>
      </w:r>
      <w:r w:rsidRPr="00970C35">
        <w:rPr>
          <w:rFonts w:ascii="Times New Roman" w:hAnsi="Times New Roman" w:cs="Times New Roman"/>
        </w:rPr>
        <w:fldChar w:fldCharType="end"/>
      </w:r>
      <w:r w:rsidRPr="00970C35">
        <w:rPr>
          <w:rFonts w:ascii="Times New Roman" w:hAnsi="Times New Roman" w:cs="Times New Roman"/>
        </w:rPr>
        <w:t xml:space="preserve">, we also include </w:t>
      </w:r>
      <w:r w:rsidR="00D27556" w:rsidRPr="00970C35">
        <w:rPr>
          <w:rFonts w:ascii="Times New Roman" w:hAnsi="Times New Roman" w:cs="Times New Roman"/>
        </w:rPr>
        <w:t xml:space="preserve">quarter-to-quarter annual </w:t>
      </w:r>
      <w:r w:rsidR="00D27556" w:rsidRPr="00970C35">
        <w:rPr>
          <w:rFonts w:ascii="Times New Roman" w:hAnsi="Times New Roman" w:cs="Times New Roman"/>
        </w:rPr>
        <w:lastRenderedPageBreak/>
        <w:t xml:space="preserve">sales growth, and </w:t>
      </w:r>
      <w:r w:rsidRPr="00970C35">
        <w:rPr>
          <w:rFonts w:ascii="Times New Roman" w:hAnsi="Times New Roman" w:cs="Times New Roman"/>
        </w:rPr>
        <w:t>change in cash holdings from the pr</w:t>
      </w:r>
      <w:r w:rsidR="00012E31" w:rsidRPr="00970C35">
        <w:rPr>
          <w:rFonts w:ascii="Times New Roman" w:hAnsi="Times New Roman" w:cs="Times New Roman"/>
        </w:rPr>
        <w:t>evious fiscal quarter</w:t>
      </w:r>
      <w:r w:rsidRPr="00970C35">
        <w:rPr>
          <w:rFonts w:ascii="Times New Roman" w:hAnsi="Times New Roman" w:cs="Times New Roman"/>
        </w:rPr>
        <w:t xml:space="preserve"> in our regression analyses to control for firms’ change in working capital, which could be a substitute for firms’ investment in fixed assets. Firms’ </w:t>
      </w:r>
      <w:r w:rsidR="005B6E0B" w:rsidRPr="00970C35">
        <w:rPr>
          <w:rFonts w:ascii="Times New Roman" w:hAnsi="Times New Roman" w:cs="Times New Roman"/>
        </w:rPr>
        <w:t xml:space="preserve">leverage, </w:t>
      </w:r>
      <w:r w:rsidRPr="00970C35">
        <w:rPr>
          <w:rFonts w:ascii="Times New Roman" w:hAnsi="Times New Roman" w:cs="Times New Roman"/>
        </w:rPr>
        <w:t>annual free cash flow, total assets, market capitalization, and number of employees are summarized in Table 1. Finally, we add the implicit tax rate, defined as annual total income taxes divided by taxable income</w:t>
      </w:r>
      <w:r w:rsidR="00E04826" w:rsidRPr="00970C35">
        <w:rPr>
          <w:rFonts w:ascii="Times New Roman" w:hAnsi="Times New Roman" w:cs="Times New Roman"/>
        </w:rPr>
        <w:t xml:space="preserve"> as a control variable in our regression analyses</w:t>
      </w:r>
      <w:r w:rsidRPr="00970C35">
        <w:rPr>
          <w:rFonts w:ascii="Times New Roman" w:hAnsi="Times New Roman" w:cs="Times New Roman"/>
        </w:rPr>
        <w:t xml:space="preserve">. </w:t>
      </w:r>
    </w:p>
    <w:p w:rsidR="00821BD4" w:rsidRPr="00970C35" w:rsidRDefault="00821BD4" w:rsidP="00821BD4">
      <w:pPr>
        <w:spacing w:after="0" w:line="480" w:lineRule="auto"/>
        <w:ind w:firstLine="288"/>
        <w:jc w:val="both"/>
        <w:rPr>
          <w:rFonts w:ascii="Times New Roman" w:hAnsi="Times New Roman" w:cs="Times New Roman"/>
        </w:rPr>
      </w:pPr>
      <w:r w:rsidRPr="00970C35">
        <w:rPr>
          <w:rFonts w:ascii="Times New Roman" w:hAnsi="Times New Roman" w:cs="Times New Roman"/>
        </w:rPr>
        <w:t xml:space="preserve">Panel A summarizes firm variables in our sample that are also used in regressions in section 4. The average (median) quarterly capital expenditure is 1.30% (0.78%) of firm assets. Quarterly cash flow has a mean (median) of 1.7% (1.95%) of assets. The average (median) Tobin’s </w:t>
      </w:r>
      <w:r w:rsidR="004E42E7" w:rsidRPr="00970C35">
        <w:rPr>
          <w:rFonts w:ascii="Times New Roman" w:hAnsi="Times New Roman" w:cs="Times New Roman"/>
        </w:rPr>
        <w:t>q</w:t>
      </w:r>
      <w:r w:rsidRPr="00970C35">
        <w:rPr>
          <w:rFonts w:ascii="Times New Roman" w:hAnsi="Times New Roman" w:cs="Times New Roman"/>
        </w:rPr>
        <w:t xml:space="preserve"> at the beginning of the quarter is 1.75 (1.35). Annul sales growth rate has a mean of 13.4% and median of 6.94%. Leverage in the previous fiscal year has a mean of 18.5% and median of 15.9%. In our sample, firms on average have total assets </w:t>
      </w:r>
      <w:r w:rsidR="00D27556" w:rsidRPr="00970C35">
        <w:rPr>
          <w:rFonts w:ascii="Times New Roman" w:hAnsi="Times New Roman" w:cs="Times New Roman"/>
        </w:rPr>
        <w:t xml:space="preserve">of </w:t>
      </w:r>
      <w:r w:rsidRPr="00970C35">
        <w:rPr>
          <w:rFonts w:ascii="Times New Roman" w:hAnsi="Times New Roman" w:cs="Times New Roman"/>
        </w:rPr>
        <w:t>$1.85 billion</w:t>
      </w:r>
      <w:r w:rsidR="004E42E7" w:rsidRPr="00970C35">
        <w:rPr>
          <w:rFonts w:ascii="Times New Roman" w:hAnsi="Times New Roman" w:cs="Times New Roman"/>
        </w:rPr>
        <w:t>,</w:t>
      </w:r>
      <w:r w:rsidR="00D27556" w:rsidRPr="00970C35">
        <w:rPr>
          <w:rFonts w:ascii="Times New Roman" w:hAnsi="Times New Roman" w:cs="Times New Roman"/>
        </w:rPr>
        <w:t xml:space="preserve"> and their</w:t>
      </w:r>
      <w:r w:rsidRPr="00970C35">
        <w:rPr>
          <w:rFonts w:ascii="Times New Roman" w:hAnsi="Times New Roman" w:cs="Times New Roman"/>
        </w:rPr>
        <w:t xml:space="preserve"> equity </w:t>
      </w:r>
      <w:r w:rsidR="00D27556" w:rsidRPr="00970C35">
        <w:rPr>
          <w:rFonts w:ascii="Times New Roman" w:hAnsi="Times New Roman" w:cs="Times New Roman"/>
        </w:rPr>
        <w:t xml:space="preserve">has an average market capitalization of </w:t>
      </w:r>
      <w:r w:rsidRPr="00970C35">
        <w:rPr>
          <w:rFonts w:ascii="Times New Roman" w:hAnsi="Times New Roman" w:cs="Times New Roman"/>
        </w:rPr>
        <w:t>$1.76 billion.</w:t>
      </w:r>
    </w:p>
    <w:p w:rsidR="00941FA4" w:rsidRPr="00970C35" w:rsidRDefault="00941FA4" w:rsidP="00821BD4">
      <w:pPr>
        <w:spacing w:after="0" w:line="480" w:lineRule="auto"/>
        <w:ind w:firstLine="288"/>
        <w:jc w:val="both"/>
        <w:rPr>
          <w:rFonts w:ascii="Times New Roman" w:hAnsi="Times New Roman" w:cs="Times New Roman"/>
        </w:rPr>
      </w:pPr>
      <w:r w:rsidRPr="00970C35">
        <w:rPr>
          <w:rFonts w:ascii="Times New Roman" w:hAnsi="Times New Roman" w:cs="Times New Roman"/>
        </w:rPr>
        <w:t>In Panel B, the country characteristics are investor rights and protection, d</w:t>
      </w:r>
      <w:r w:rsidR="00D27556" w:rsidRPr="00970C35">
        <w:rPr>
          <w:rFonts w:ascii="Times New Roman" w:hAnsi="Times New Roman" w:cs="Times New Roman"/>
        </w:rPr>
        <w:t>evelopment of financial market</w:t>
      </w:r>
      <w:r w:rsidRPr="00970C35">
        <w:rPr>
          <w:rFonts w:ascii="Times New Roman" w:hAnsi="Times New Roman" w:cs="Times New Roman"/>
        </w:rPr>
        <w:t xml:space="preserve">, and GDP per capita in constant 2005 US$ (GDP) and annual GDP growth (GDP_GRO). The details of these variables are provided in Appendix A. </w:t>
      </w:r>
      <w:r w:rsidR="00B27D30" w:rsidRPr="00970C35">
        <w:rPr>
          <w:rFonts w:ascii="Times New Roman" w:hAnsi="Times New Roman" w:cs="Times New Roman"/>
        </w:rPr>
        <w:t>As in Panel A, w</w:t>
      </w:r>
      <w:r w:rsidRPr="00970C35">
        <w:rPr>
          <w:rFonts w:ascii="Times New Roman" w:hAnsi="Times New Roman" w:cs="Times New Roman"/>
        </w:rPr>
        <w:t xml:space="preserve">e provide </w:t>
      </w:r>
      <w:r w:rsidR="00B27D30" w:rsidRPr="00970C35">
        <w:rPr>
          <w:rFonts w:ascii="Times New Roman" w:hAnsi="Times New Roman" w:cs="Times New Roman"/>
        </w:rPr>
        <w:t xml:space="preserve">information on summary </w:t>
      </w:r>
      <w:r w:rsidRPr="00970C35">
        <w:rPr>
          <w:rFonts w:ascii="Times New Roman" w:hAnsi="Times New Roman" w:cs="Times New Roman"/>
        </w:rPr>
        <w:t xml:space="preserve">statistics </w:t>
      </w:r>
      <w:r w:rsidR="00B27D30" w:rsidRPr="00970C35">
        <w:rPr>
          <w:rFonts w:ascii="Times New Roman" w:hAnsi="Times New Roman" w:cs="Times New Roman"/>
        </w:rPr>
        <w:t xml:space="preserve">such as </w:t>
      </w:r>
      <w:r w:rsidRPr="00970C35">
        <w:rPr>
          <w:rFonts w:ascii="Times New Roman" w:hAnsi="Times New Roman" w:cs="Times New Roman"/>
        </w:rPr>
        <w:t>number of observations, mean, standard deviations, and the 25</w:t>
      </w:r>
      <w:r w:rsidRPr="00970C35">
        <w:rPr>
          <w:rFonts w:ascii="Times New Roman" w:hAnsi="Times New Roman" w:cs="Times New Roman"/>
          <w:vertAlign w:val="superscript"/>
        </w:rPr>
        <w:t>th</w:t>
      </w:r>
      <w:r w:rsidRPr="00970C35">
        <w:rPr>
          <w:rFonts w:ascii="Times New Roman" w:hAnsi="Times New Roman" w:cs="Times New Roman"/>
        </w:rPr>
        <w:t xml:space="preserve"> percentile, median, and 75</w:t>
      </w:r>
      <w:r w:rsidRPr="00970C35">
        <w:rPr>
          <w:rFonts w:ascii="Times New Roman" w:hAnsi="Times New Roman" w:cs="Times New Roman"/>
          <w:vertAlign w:val="superscript"/>
        </w:rPr>
        <w:t>th</w:t>
      </w:r>
      <w:r w:rsidRPr="00970C35">
        <w:rPr>
          <w:rFonts w:ascii="Times New Roman" w:hAnsi="Times New Roman" w:cs="Times New Roman"/>
        </w:rPr>
        <w:t xml:space="preserve"> percentiles.</w:t>
      </w:r>
    </w:p>
    <w:p w:rsidR="00B27D30" w:rsidRPr="00970C35" w:rsidRDefault="004E42E7" w:rsidP="00B27D30">
      <w:pPr>
        <w:spacing w:after="240" w:line="480" w:lineRule="auto"/>
        <w:jc w:val="center"/>
        <w:rPr>
          <w:rFonts w:ascii="Times New Roman" w:hAnsi="Times New Roman" w:cs="Times New Roman"/>
        </w:rPr>
      </w:pPr>
      <w:r w:rsidRPr="00970C35">
        <w:rPr>
          <w:rFonts w:ascii="Times New Roman" w:hAnsi="Times New Roman" w:cs="Times New Roman"/>
        </w:rPr>
        <w:t>[</w:t>
      </w:r>
      <w:r w:rsidR="00B27D30" w:rsidRPr="00970C35">
        <w:rPr>
          <w:rFonts w:ascii="Times New Roman" w:hAnsi="Times New Roman" w:cs="Times New Roman"/>
        </w:rPr>
        <w:t>Insert Table 1 here</w:t>
      </w:r>
      <w:r w:rsidRPr="00970C35">
        <w:rPr>
          <w:rFonts w:ascii="Times New Roman" w:hAnsi="Times New Roman" w:cs="Times New Roman"/>
        </w:rPr>
        <w:t>]</w:t>
      </w:r>
    </w:p>
    <w:p w:rsidR="00756722" w:rsidRPr="00970C35" w:rsidRDefault="00B27D30" w:rsidP="00756722">
      <w:pPr>
        <w:spacing w:after="0" w:line="480" w:lineRule="auto"/>
        <w:ind w:firstLine="288"/>
        <w:jc w:val="both"/>
        <w:rPr>
          <w:rFonts w:ascii="Times New Roman" w:hAnsi="Times New Roman" w:cs="Times New Roman"/>
        </w:rPr>
      </w:pPr>
      <w:r w:rsidRPr="00970C35">
        <w:rPr>
          <w:rFonts w:ascii="Times New Roman" w:hAnsi="Times New Roman" w:cs="Times New Roman"/>
        </w:rPr>
        <w:t xml:space="preserve">To show cross-country variations in the country-level variables, we report </w:t>
      </w:r>
      <w:r w:rsidR="00821BD4" w:rsidRPr="00970C35">
        <w:rPr>
          <w:rFonts w:ascii="Times New Roman" w:hAnsi="Times New Roman" w:cs="Times New Roman"/>
        </w:rPr>
        <w:t xml:space="preserve">the country characteristics </w:t>
      </w:r>
      <w:r w:rsidRPr="00970C35">
        <w:rPr>
          <w:rFonts w:ascii="Times New Roman" w:hAnsi="Times New Roman" w:cs="Times New Roman"/>
        </w:rPr>
        <w:t>by individual countries for the 41 countries in our sample</w:t>
      </w:r>
      <w:r w:rsidR="00821BD4" w:rsidRPr="00970C35">
        <w:rPr>
          <w:rFonts w:ascii="Times New Roman" w:hAnsi="Times New Roman" w:cs="Times New Roman"/>
        </w:rPr>
        <w:t xml:space="preserve"> </w:t>
      </w:r>
      <w:r w:rsidRPr="00970C35">
        <w:rPr>
          <w:rFonts w:ascii="Times New Roman" w:hAnsi="Times New Roman" w:cs="Times New Roman"/>
        </w:rPr>
        <w:t>in Table 2 Panel A</w:t>
      </w:r>
      <w:r w:rsidR="00821BD4" w:rsidRPr="00970C35">
        <w:rPr>
          <w:rFonts w:ascii="Times New Roman" w:hAnsi="Times New Roman" w:cs="Times New Roman"/>
        </w:rPr>
        <w:t xml:space="preserve">. </w:t>
      </w:r>
      <w:r w:rsidR="00CB28DA" w:rsidRPr="00970C35">
        <w:rPr>
          <w:rFonts w:ascii="Times New Roman" w:hAnsi="Times New Roman" w:cs="Times New Roman"/>
        </w:rPr>
        <w:t>Corresponding with our hypotheses in section 2</w:t>
      </w:r>
      <w:r w:rsidRPr="00970C35">
        <w:rPr>
          <w:rFonts w:ascii="Times New Roman" w:hAnsi="Times New Roman" w:cs="Times New Roman"/>
        </w:rPr>
        <w:t>, w</w:t>
      </w:r>
      <w:r w:rsidR="00821BD4" w:rsidRPr="00970C35">
        <w:rPr>
          <w:rFonts w:ascii="Times New Roman" w:hAnsi="Times New Roman" w:cs="Times New Roman"/>
        </w:rPr>
        <w:t xml:space="preserve">e categorize the country-level variables into </w:t>
      </w:r>
      <w:r w:rsidR="004A27B0" w:rsidRPr="00970C35">
        <w:rPr>
          <w:rFonts w:ascii="Times New Roman" w:hAnsi="Times New Roman" w:cs="Times New Roman"/>
        </w:rPr>
        <w:t>two</w:t>
      </w:r>
      <w:r w:rsidR="00821BD4" w:rsidRPr="00970C35">
        <w:rPr>
          <w:rFonts w:ascii="Times New Roman" w:hAnsi="Times New Roman" w:cs="Times New Roman"/>
        </w:rPr>
        <w:t xml:space="preserve"> different </w:t>
      </w:r>
      <w:r w:rsidR="00CF0FF8" w:rsidRPr="00970C35">
        <w:rPr>
          <w:rFonts w:ascii="Times New Roman" w:hAnsi="Times New Roman" w:cs="Times New Roman"/>
        </w:rPr>
        <w:t>groups</w:t>
      </w:r>
      <w:r w:rsidR="00821BD4" w:rsidRPr="00970C35">
        <w:rPr>
          <w:rFonts w:ascii="Times New Roman" w:hAnsi="Times New Roman" w:cs="Times New Roman"/>
        </w:rPr>
        <w:t>: investor rights</w:t>
      </w:r>
      <w:r w:rsidRPr="00970C35">
        <w:rPr>
          <w:rFonts w:ascii="Times New Roman" w:hAnsi="Times New Roman" w:cs="Times New Roman"/>
        </w:rPr>
        <w:t xml:space="preserve"> and protection</w:t>
      </w:r>
      <w:r w:rsidR="00983D3F" w:rsidRPr="00970C35">
        <w:rPr>
          <w:rFonts w:ascii="Times New Roman" w:eastAsia="맑은 고딕" w:hAnsi="Times New Roman" w:cs="Times New Roman"/>
          <w:lang w:eastAsia="ko-KR"/>
        </w:rPr>
        <w:t>,</w:t>
      </w:r>
      <w:r w:rsidR="004A27B0" w:rsidRPr="00970C35">
        <w:rPr>
          <w:rFonts w:ascii="Times New Roman" w:hAnsi="Times New Roman" w:cs="Times New Roman"/>
        </w:rPr>
        <w:t xml:space="preserve"> and</w:t>
      </w:r>
      <w:r w:rsidR="00821BD4" w:rsidRPr="00970C35">
        <w:rPr>
          <w:rFonts w:ascii="Times New Roman" w:hAnsi="Times New Roman" w:cs="Times New Roman"/>
        </w:rPr>
        <w:t xml:space="preserve"> development of financial markets. Due to data availability, not all countries have all the variables. The third and fourth to last rows show the countries with the minimum and maximum values for each country-level variable, respectively. The United States represents the largest part of the sample, accounting for approximately 40% of the total observations, while Egypt represents the least. One interesting observation from </w:t>
      </w:r>
      <w:r w:rsidR="004E42E7" w:rsidRPr="00970C35">
        <w:rPr>
          <w:rFonts w:ascii="Times New Roman" w:hAnsi="Times New Roman" w:cs="Times New Roman"/>
        </w:rPr>
        <w:t>Table 2</w:t>
      </w:r>
      <w:r w:rsidR="00821BD4" w:rsidRPr="00970C35">
        <w:rPr>
          <w:rFonts w:ascii="Times New Roman" w:hAnsi="Times New Roman" w:cs="Times New Roman"/>
        </w:rPr>
        <w:t xml:space="preserve"> is that the data show a high level of diversity </w:t>
      </w:r>
      <w:r w:rsidR="00CF0FF8" w:rsidRPr="00970C35">
        <w:rPr>
          <w:rFonts w:ascii="Times New Roman" w:hAnsi="Times New Roman" w:cs="Times New Roman"/>
        </w:rPr>
        <w:t>in</w:t>
      </w:r>
      <w:r w:rsidR="00821BD4" w:rsidRPr="00970C35">
        <w:rPr>
          <w:rFonts w:ascii="Times New Roman" w:hAnsi="Times New Roman" w:cs="Times New Roman"/>
        </w:rPr>
        <w:t xml:space="preserve"> many dimensions. For </w:t>
      </w:r>
      <w:r w:rsidR="00821BD4" w:rsidRPr="00970C35">
        <w:rPr>
          <w:rFonts w:ascii="Times New Roman" w:hAnsi="Times New Roman" w:cs="Times New Roman"/>
        </w:rPr>
        <w:lastRenderedPageBreak/>
        <w:t>example, Switzerland is one of the developed countries with high GDP per capita,</w:t>
      </w:r>
      <w:r w:rsidR="00CF0FF8" w:rsidRPr="00970C35">
        <w:rPr>
          <w:rFonts w:ascii="Times New Roman" w:hAnsi="Times New Roman" w:cs="Times New Roman"/>
        </w:rPr>
        <w:t xml:space="preserve"> but has the least extent of disclosure</w:t>
      </w:r>
      <w:r w:rsidR="00821BD4" w:rsidRPr="00970C35">
        <w:rPr>
          <w:rFonts w:ascii="Times New Roman" w:hAnsi="Times New Roman" w:cs="Times New Roman"/>
        </w:rPr>
        <w:t>. The last two rows report the means and standard deviations of these characteristics across all countries.</w:t>
      </w:r>
      <w:r w:rsidR="00756722" w:rsidRPr="00970C35">
        <w:rPr>
          <w:rFonts w:ascii="Times New Roman" w:hAnsi="Times New Roman" w:cs="Times New Roman"/>
        </w:rPr>
        <w:t xml:space="preserve"> </w:t>
      </w:r>
    </w:p>
    <w:p w:rsidR="00756722" w:rsidRPr="00970C35" w:rsidRDefault="00756722" w:rsidP="00756722">
      <w:pPr>
        <w:spacing w:after="0" w:line="480" w:lineRule="auto"/>
        <w:ind w:firstLine="288"/>
        <w:jc w:val="both"/>
        <w:rPr>
          <w:rFonts w:ascii="Times New Roman" w:hAnsi="Times New Roman" w:cs="Times New Roman"/>
        </w:rPr>
      </w:pPr>
      <w:r w:rsidRPr="00970C35">
        <w:rPr>
          <w:rFonts w:ascii="Times New Roman" w:hAnsi="Times New Roman" w:cs="Times New Roman"/>
        </w:rPr>
        <w:t xml:space="preserve">Pairwise Pearson correlations among these country variables are presented in </w:t>
      </w:r>
      <w:r w:rsidR="007C0C1C" w:rsidRPr="00970C35">
        <w:rPr>
          <w:rFonts w:ascii="Times New Roman" w:hAnsi="Times New Roman" w:cs="Times New Roman"/>
        </w:rPr>
        <w:t xml:space="preserve">Table 2 </w:t>
      </w:r>
      <w:r w:rsidRPr="00970C35">
        <w:rPr>
          <w:rFonts w:ascii="Times New Roman" w:hAnsi="Times New Roman" w:cs="Times New Roman"/>
        </w:rPr>
        <w:t xml:space="preserve">Panel B. </w:t>
      </w:r>
      <w:r w:rsidR="004A27B0" w:rsidRPr="00970C35">
        <w:rPr>
          <w:rFonts w:ascii="Times New Roman" w:hAnsi="Times New Roman" w:cs="Times New Roman"/>
        </w:rPr>
        <w:t xml:space="preserve">In the parentheses below the correlation coefficients are p-values, and those with p-values below 0.05 are in boldface. </w:t>
      </w:r>
      <w:r w:rsidR="002E4AAF" w:rsidRPr="00970C35">
        <w:rPr>
          <w:rFonts w:ascii="Times New Roman" w:hAnsi="Times New Roman" w:cs="Times New Roman"/>
        </w:rPr>
        <w:t>Ideally, we would like to have high pairwise correlations among the variables within each category</w:t>
      </w:r>
      <w:r w:rsidR="007C0C1C" w:rsidRPr="00970C35">
        <w:rPr>
          <w:rFonts w:ascii="Times New Roman" w:hAnsi="Times New Roman" w:cs="Times New Roman"/>
        </w:rPr>
        <w:t>,</w:t>
      </w:r>
      <w:r w:rsidR="002E4AAF" w:rsidRPr="00970C35">
        <w:rPr>
          <w:rFonts w:ascii="Times New Roman" w:hAnsi="Times New Roman" w:cs="Times New Roman"/>
        </w:rPr>
        <w:t xml:space="preserve"> and low correlations between variables from different categories. </w:t>
      </w:r>
      <w:r w:rsidR="00B52CB2">
        <w:rPr>
          <w:rFonts w:ascii="Times New Roman" w:hAnsi="Times New Roman" w:cs="Times New Roman"/>
        </w:rPr>
        <w:t>T</w:t>
      </w:r>
      <w:r w:rsidR="002E4AAF" w:rsidRPr="00970C35">
        <w:rPr>
          <w:rFonts w:ascii="Times New Roman" w:hAnsi="Times New Roman" w:cs="Times New Roman"/>
        </w:rPr>
        <w:t xml:space="preserve">he former seems to be the case, </w:t>
      </w:r>
      <w:r w:rsidR="00B52CB2">
        <w:rPr>
          <w:rFonts w:ascii="Times New Roman" w:hAnsi="Times New Roman" w:cs="Times New Roman"/>
        </w:rPr>
        <w:t>and although the latter is not entirely true,</w:t>
      </w:r>
      <w:r w:rsidR="002E4AAF" w:rsidRPr="00970C35">
        <w:rPr>
          <w:rFonts w:ascii="Times New Roman" w:hAnsi="Times New Roman" w:cs="Times New Roman"/>
        </w:rPr>
        <w:t xml:space="preserve"> </w:t>
      </w:r>
      <w:r w:rsidR="0078272A" w:rsidRPr="00970C35">
        <w:rPr>
          <w:rFonts w:ascii="Times New Roman" w:hAnsi="Times New Roman" w:cs="Times New Roman"/>
        </w:rPr>
        <w:t>the earnings management index (EM) and n</w:t>
      </w:r>
      <w:r w:rsidR="00B52CB2">
        <w:rPr>
          <w:rFonts w:ascii="Times New Roman" w:hAnsi="Times New Roman" w:cs="Times New Roman"/>
        </w:rPr>
        <w:t xml:space="preserve">umber of IPOs per capita (IPO) </w:t>
      </w:r>
      <w:r w:rsidR="0078272A" w:rsidRPr="00970C35">
        <w:rPr>
          <w:rFonts w:ascii="Times New Roman" w:hAnsi="Times New Roman" w:cs="Times New Roman"/>
        </w:rPr>
        <w:t>are</w:t>
      </w:r>
      <w:r w:rsidR="007C0C1C" w:rsidRPr="00970C35">
        <w:rPr>
          <w:rFonts w:ascii="Times New Roman" w:hAnsi="Times New Roman" w:cs="Times New Roman"/>
        </w:rPr>
        <w:t>,</w:t>
      </w:r>
      <w:r w:rsidR="0078272A" w:rsidRPr="00970C35">
        <w:rPr>
          <w:rFonts w:ascii="Times New Roman" w:hAnsi="Times New Roman" w:cs="Times New Roman"/>
        </w:rPr>
        <w:t xml:space="preserve"> in general</w:t>
      </w:r>
      <w:r w:rsidR="007C0C1C" w:rsidRPr="00970C35">
        <w:rPr>
          <w:rFonts w:ascii="Times New Roman" w:hAnsi="Times New Roman" w:cs="Times New Roman"/>
        </w:rPr>
        <w:t>,</w:t>
      </w:r>
      <w:r w:rsidR="0078272A" w:rsidRPr="00970C35">
        <w:rPr>
          <w:rFonts w:ascii="Times New Roman" w:hAnsi="Times New Roman" w:cs="Times New Roman"/>
        </w:rPr>
        <w:t xml:space="preserve"> highly correlated with variables in their own category but not with those in the other categories. </w:t>
      </w:r>
    </w:p>
    <w:p w:rsidR="00821BD4" w:rsidRPr="00970C35" w:rsidRDefault="007C0C1C" w:rsidP="00B27D30">
      <w:pPr>
        <w:spacing w:after="240" w:line="480" w:lineRule="auto"/>
        <w:jc w:val="center"/>
        <w:rPr>
          <w:rFonts w:ascii="Times New Roman" w:hAnsi="Times New Roman" w:cs="Times New Roman"/>
          <w:szCs w:val="23"/>
        </w:rPr>
      </w:pPr>
      <w:r w:rsidRPr="00970C35">
        <w:rPr>
          <w:rFonts w:ascii="Times New Roman" w:hAnsi="Times New Roman" w:cs="Times New Roman"/>
          <w:szCs w:val="23"/>
        </w:rPr>
        <w:t>[</w:t>
      </w:r>
      <w:r w:rsidR="00821BD4" w:rsidRPr="00970C35">
        <w:rPr>
          <w:rFonts w:ascii="Times New Roman" w:hAnsi="Times New Roman" w:cs="Times New Roman"/>
          <w:szCs w:val="23"/>
        </w:rPr>
        <w:t>Insert Table 2 here</w:t>
      </w:r>
      <w:r w:rsidRPr="00970C35">
        <w:rPr>
          <w:rFonts w:ascii="Times New Roman" w:hAnsi="Times New Roman" w:cs="Times New Roman"/>
          <w:szCs w:val="23"/>
        </w:rPr>
        <w:t>]</w:t>
      </w:r>
    </w:p>
    <w:p w:rsidR="00821BD4" w:rsidRPr="00970C35" w:rsidRDefault="00BF7092" w:rsidP="00821BD4">
      <w:pPr>
        <w:autoSpaceDE w:val="0"/>
        <w:autoSpaceDN w:val="0"/>
        <w:adjustRightInd w:val="0"/>
        <w:spacing w:after="0" w:line="480" w:lineRule="auto"/>
        <w:jc w:val="both"/>
        <w:rPr>
          <w:rFonts w:ascii="Times New Roman" w:hAnsi="Times New Roman" w:cs="Times New Roman"/>
          <w:b/>
          <w:sz w:val="16"/>
          <w:szCs w:val="16"/>
        </w:rPr>
      </w:pPr>
      <w:r w:rsidRPr="00970C35">
        <w:rPr>
          <w:rFonts w:ascii="Times New Roman" w:hAnsi="Times New Roman" w:cs="Times New Roman"/>
          <w:b/>
        </w:rPr>
        <w:t>4</w:t>
      </w:r>
      <w:r w:rsidR="00821BD4" w:rsidRPr="00970C35">
        <w:rPr>
          <w:rFonts w:ascii="Times New Roman" w:hAnsi="Times New Roman" w:cs="Times New Roman"/>
          <w:b/>
        </w:rPr>
        <w:t>. Regression Specification and Results</w:t>
      </w:r>
    </w:p>
    <w:p w:rsidR="005C0461" w:rsidRPr="00970C35" w:rsidRDefault="005C0461" w:rsidP="005C0461">
      <w:pPr>
        <w:spacing w:after="0" w:line="480" w:lineRule="auto"/>
        <w:jc w:val="both"/>
        <w:rPr>
          <w:rFonts w:ascii="Times New Roman" w:hAnsi="Times New Roman" w:cs="Times New Roman"/>
        </w:rPr>
      </w:pPr>
      <w:r w:rsidRPr="00970C35">
        <w:rPr>
          <w:rFonts w:ascii="Times New Roman" w:hAnsi="Times New Roman" w:cs="Times New Roman"/>
        </w:rPr>
        <w:t xml:space="preserve">4.1. Is the “Fourth </w:t>
      </w:r>
      <w:r w:rsidR="006269D6" w:rsidRPr="00970C35">
        <w:rPr>
          <w:rFonts w:ascii="Times New Roman" w:hAnsi="Times New Roman" w:cs="Times New Roman"/>
        </w:rPr>
        <w:t>Q</w:t>
      </w:r>
      <w:r w:rsidRPr="00970C35">
        <w:rPr>
          <w:rFonts w:ascii="Times New Roman" w:hAnsi="Times New Roman" w:cs="Times New Roman"/>
        </w:rPr>
        <w:t xml:space="preserve">uarter </w:t>
      </w:r>
      <w:r w:rsidR="006269D6" w:rsidRPr="00970C35">
        <w:rPr>
          <w:rFonts w:ascii="Times New Roman" w:hAnsi="Times New Roman" w:cs="Times New Roman"/>
        </w:rPr>
        <w:t>E</w:t>
      </w:r>
      <w:r w:rsidRPr="00970C35">
        <w:rPr>
          <w:rFonts w:ascii="Times New Roman" w:hAnsi="Times New Roman" w:cs="Times New Roman"/>
        </w:rPr>
        <w:t xml:space="preserve">ffect” </w:t>
      </w:r>
      <w:r w:rsidR="007C0C1C" w:rsidRPr="00970C35">
        <w:rPr>
          <w:rFonts w:ascii="Times New Roman" w:hAnsi="Times New Roman" w:cs="Times New Roman"/>
        </w:rPr>
        <w:t>a</w:t>
      </w:r>
      <w:r w:rsidR="00CF0FF8" w:rsidRPr="00970C35">
        <w:rPr>
          <w:rFonts w:ascii="Times New Roman" w:hAnsi="Times New Roman" w:cs="Times New Roman"/>
        </w:rPr>
        <w:t xml:space="preserve"> Global Phenomenon</w:t>
      </w:r>
      <w:r w:rsidRPr="00970C35">
        <w:rPr>
          <w:rFonts w:ascii="Times New Roman" w:hAnsi="Times New Roman" w:cs="Times New Roman"/>
        </w:rPr>
        <w:t>?</w:t>
      </w:r>
    </w:p>
    <w:p w:rsidR="005C0461" w:rsidRPr="00970C35" w:rsidRDefault="00137B08" w:rsidP="002A7DE0">
      <w:pPr>
        <w:spacing w:after="0" w:line="480" w:lineRule="auto"/>
        <w:jc w:val="both"/>
        <w:rPr>
          <w:rFonts w:ascii="Times New Roman" w:hAnsi="Times New Roman" w:cs="Times New Roman"/>
        </w:rPr>
      </w:pPr>
      <w:r w:rsidRPr="00970C35">
        <w:rPr>
          <w:rFonts w:ascii="Times New Roman" w:hAnsi="Times New Roman" w:cs="Times New Roman"/>
        </w:rPr>
        <w:t>We next examine how widespread the “fourth quarter effect” is in the</w:t>
      </w:r>
      <w:r w:rsidR="00CF0FF8" w:rsidRPr="00970C35">
        <w:rPr>
          <w:rFonts w:ascii="Times New Roman" w:hAnsi="Times New Roman" w:cs="Times New Roman"/>
        </w:rPr>
        <w:t xml:space="preserve"> world</w:t>
      </w:r>
      <w:r w:rsidRPr="00970C35">
        <w:rPr>
          <w:rFonts w:ascii="Times New Roman" w:hAnsi="Times New Roman" w:cs="Times New Roman"/>
        </w:rPr>
        <w:t>. A positive answer to this question would alleviate the concern that this effect documented in the U</w:t>
      </w:r>
      <w:r w:rsidR="007C0C1C" w:rsidRPr="00970C35">
        <w:rPr>
          <w:rFonts w:ascii="Times New Roman" w:hAnsi="Times New Roman" w:cs="Times New Roman"/>
        </w:rPr>
        <w:t>.</w:t>
      </w:r>
      <w:r w:rsidRPr="00970C35">
        <w:rPr>
          <w:rFonts w:ascii="Times New Roman" w:hAnsi="Times New Roman" w:cs="Times New Roman"/>
        </w:rPr>
        <w:t>S</w:t>
      </w:r>
      <w:r w:rsidR="007C0C1C" w:rsidRPr="00970C35">
        <w:rPr>
          <w:rFonts w:ascii="Times New Roman" w:hAnsi="Times New Roman" w:cs="Times New Roman"/>
        </w:rPr>
        <w:t>.</w:t>
      </w:r>
      <w:r w:rsidRPr="00970C35">
        <w:rPr>
          <w:rFonts w:ascii="Times New Roman" w:hAnsi="Times New Roman" w:cs="Times New Roman"/>
        </w:rPr>
        <w:t xml:space="preserve"> is </w:t>
      </w:r>
      <w:r w:rsidR="007C0C1C" w:rsidRPr="00970C35">
        <w:rPr>
          <w:rFonts w:ascii="Times New Roman" w:hAnsi="Times New Roman" w:cs="Times New Roman"/>
        </w:rPr>
        <w:t>merely</w:t>
      </w:r>
      <w:r w:rsidRPr="00970C35">
        <w:rPr>
          <w:rFonts w:ascii="Times New Roman" w:hAnsi="Times New Roman" w:cs="Times New Roman"/>
        </w:rPr>
        <w:t xml:space="preserve"> a coincidence. </w:t>
      </w:r>
      <w:r w:rsidR="00CC153B" w:rsidRPr="00970C35">
        <w:rPr>
          <w:rFonts w:ascii="Times New Roman" w:hAnsi="Times New Roman" w:cs="Times New Roman"/>
        </w:rPr>
        <w:t xml:space="preserve">Figure 1 shows some preliminary results </w:t>
      </w:r>
      <w:r w:rsidR="007C0C1C" w:rsidRPr="00970C35">
        <w:rPr>
          <w:rFonts w:ascii="Times New Roman" w:hAnsi="Times New Roman" w:cs="Times New Roman"/>
        </w:rPr>
        <w:t>in regards to</w:t>
      </w:r>
      <w:r w:rsidR="00CC153B" w:rsidRPr="00970C35">
        <w:rPr>
          <w:rFonts w:ascii="Times New Roman" w:hAnsi="Times New Roman" w:cs="Times New Roman"/>
        </w:rPr>
        <w:t xml:space="preserve"> this question. In our pooled sample, both the equal-weighted and value-weighted average proportion of firms’ investment in the fourth fiscal quarter are higher than 25%. </w:t>
      </w:r>
      <w:r w:rsidR="004E6F88" w:rsidRPr="00970C35">
        <w:rPr>
          <w:rFonts w:ascii="Times New Roman" w:hAnsi="Times New Roman" w:cs="Times New Roman"/>
        </w:rPr>
        <w:t>For</w:t>
      </w:r>
      <w:r w:rsidR="00CC153B" w:rsidRPr="00970C35">
        <w:rPr>
          <w:rFonts w:ascii="Times New Roman" w:hAnsi="Times New Roman" w:cs="Times New Roman"/>
        </w:rPr>
        <w:t xml:space="preserve"> </w:t>
      </w:r>
      <w:r w:rsidR="007C0C1C" w:rsidRPr="00970C35">
        <w:rPr>
          <w:rFonts w:ascii="Times New Roman" w:hAnsi="Times New Roman" w:cs="Times New Roman"/>
        </w:rPr>
        <w:t>detailed</w:t>
      </w:r>
      <w:r w:rsidR="00CC153B" w:rsidRPr="00970C35">
        <w:rPr>
          <w:rFonts w:ascii="Times New Roman" w:hAnsi="Times New Roman" w:cs="Times New Roman"/>
        </w:rPr>
        <w:t xml:space="preserve"> seasonal patterns, Table 3 Panel A presents </w:t>
      </w:r>
      <w:r w:rsidR="005C0461" w:rsidRPr="00970C35">
        <w:rPr>
          <w:rFonts w:ascii="Times New Roman" w:hAnsi="Times New Roman" w:cs="Times New Roman"/>
        </w:rPr>
        <w:t xml:space="preserve">the means and medians of </w:t>
      </w:r>
      <w:r w:rsidR="00660B84" w:rsidRPr="00970C35">
        <w:rPr>
          <w:rFonts w:ascii="Times New Roman" w:hAnsi="Times New Roman" w:cs="Times New Roman"/>
        </w:rPr>
        <w:t>both</w:t>
      </w:r>
      <w:r w:rsidR="005C0461" w:rsidRPr="00970C35">
        <w:rPr>
          <w:rFonts w:ascii="Times New Roman" w:hAnsi="Times New Roman" w:cs="Times New Roman"/>
        </w:rPr>
        <w:t xml:space="preserve"> versions of capital expenditure</w:t>
      </w:r>
      <w:r w:rsidR="00420055" w:rsidRPr="00970C35">
        <w:rPr>
          <w:rFonts w:ascii="Times New Roman" w:eastAsia="맑은 고딕" w:hAnsi="Times New Roman" w:cs="Times New Roman"/>
          <w:lang w:eastAsia="ko-KR"/>
        </w:rPr>
        <w:t>s</w:t>
      </w:r>
      <w:r w:rsidR="005C0461" w:rsidRPr="00970C35">
        <w:rPr>
          <w:rFonts w:ascii="Times New Roman" w:hAnsi="Times New Roman" w:cs="Times New Roman"/>
        </w:rPr>
        <w:t xml:space="preserve"> sorted by fiscal quarter in Columns 1 and 2, and other variables in Columns 3 through 8. It shows that we have around </w:t>
      </w:r>
      <w:r w:rsidR="00A908EF" w:rsidRPr="00970C35">
        <w:rPr>
          <w:rFonts w:ascii="Times New Roman" w:hAnsi="Times New Roman" w:cs="Times New Roman"/>
        </w:rPr>
        <w:t>58</w:t>
      </w:r>
      <w:r w:rsidR="005C0461" w:rsidRPr="00970C35">
        <w:rPr>
          <w:rFonts w:ascii="Times New Roman" w:hAnsi="Times New Roman" w:cs="Times New Roman"/>
        </w:rPr>
        <w:t xml:space="preserve">,000 observations for each fiscal quarter in our full sample. The most notable phenomenon </w:t>
      </w:r>
      <w:r w:rsidR="007C0C1C" w:rsidRPr="00970C35">
        <w:rPr>
          <w:rFonts w:ascii="Times New Roman" w:hAnsi="Times New Roman" w:cs="Times New Roman"/>
        </w:rPr>
        <w:t>in Table 3</w:t>
      </w:r>
      <w:r w:rsidR="005C0461" w:rsidRPr="00970C35">
        <w:rPr>
          <w:rFonts w:ascii="Times New Roman" w:hAnsi="Times New Roman" w:cs="Times New Roman"/>
        </w:rPr>
        <w:t xml:space="preserve"> is that the mean and median of the two measures of capital expenditure, Cap</w:t>
      </w:r>
      <w:r w:rsidR="0031144D" w:rsidRPr="00970C35">
        <w:rPr>
          <w:rFonts w:ascii="Times New Roman" w:hAnsi="Times New Roman" w:cs="Times New Roman"/>
        </w:rPr>
        <w:t>Ex and CapEx_PPE, are roughly 15</w:t>
      </w:r>
      <w:r w:rsidR="005C0461" w:rsidRPr="00970C35">
        <w:rPr>
          <w:rFonts w:ascii="Times New Roman" w:hAnsi="Times New Roman" w:cs="Times New Roman"/>
        </w:rPr>
        <w:t xml:space="preserve">% greater in the fourth fiscal quarter than </w:t>
      </w:r>
      <w:r w:rsidR="007C0C1C" w:rsidRPr="00970C35">
        <w:rPr>
          <w:rFonts w:ascii="Times New Roman" w:hAnsi="Times New Roman" w:cs="Times New Roman"/>
        </w:rPr>
        <w:t xml:space="preserve">the </w:t>
      </w:r>
      <w:r w:rsidR="0031144D" w:rsidRPr="00970C35">
        <w:rPr>
          <w:rFonts w:ascii="Times New Roman" w:hAnsi="Times New Roman" w:cs="Times New Roman"/>
        </w:rPr>
        <w:t xml:space="preserve">average of the </w:t>
      </w:r>
      <w:r w:rsidR="005C0461" w:rsidRPr="00970C35">
        <w:rPr>
          <w:rFonts w:ascii="Times New Roman" w:hAnsi="Times New Roman" w:cs="Times New Roman"/>
        </w:rPr>
        <w:t>first</w:t>
      </w:r>
      <w:r w:rsidR="0031144D" w:rsidRPr="00970C35">
        <w:rPr>
          <w:rFonts w:ascii="Times New Roman" w:hAnsi="Times New Roman" w:cs="Times New Roman"/>
        </w:rPr>
        <w:t xml:space="preserve"> three quarters</w:t>
      </w:r>
      <w:r w:rsidR="005C0461" w:rsidRPr="00970C35">
        <w:rPr>
          <w:rFonts w:ascii="Times New Roman" w:hAnsi="Times New Roman" w:cs="Times New Roman"/>
        </w:rPr>
        <w:t xml:space="preserve">. Regarding the other variables, there is a similar seasonal pattern across fiscal quarters for cash flow, but not for any of the rest including Tobin’s </w:t>
      </w:r>
      <w:r w:rsidR="004E6F88" w:rsidRPr="00970C35">
        <w:rPr>
          <w:rFonts w:ascii="Times New Roman" w:hAnsi="Times New Roman" w:cs="Times New Roman"/>
        </w:rPr>
        <w:t>q</w:t>
      </w:r>
      <w:r w:rsidR="005C0461" w:rsidRPr="00970C35">
        <w:rPr>
          <w:rFonts w:ascii="Times New Roman" w:hAnsi="Times New Roman" w:cs="Times New Roman"/>
        </w:rPr>
        <w:t>, our main measure for investment opportunities. In Column 8, we show that the same seasonal pattern in CapEx still holds when we exclude U</w:t>
      </w:r>
      <w:r w:rsidR="007C0C1C" w:rsidRPr="00970C35">
        <w:rPr>
          <w:rFonts w:ascii="Times New Roman" w:hAnsi="Times New Roman" w:cs="Times New Roman"/>
        </w:rPr>
        <w:t>.</w:t>
      </w:r>
      <w:r w:rsidR="005C0461" w:rsidRPr="00970C35">
        <w:rPr>
          <w:rFonts w:ascii="Times New Roman" w:hAnsi="Times New Roman" w:cs="Times New Roman"/>
        </w:rPr>
        <w:t>S</w:t>
      </w:r>
      <w:r w:rsidR="007C0C1C" w:rsidRPr="00970C35">
        <w:rPr>
          <w:rFonts w:ascii="Times New Roman" w:hAnsi="Times New Roman" w:cs="Times New Roman"/>
        </w:rPr>
        <w:t>.</w:t>
      </w:r>
      <w:r w:rsidR="005C0461" w:rsidRPr="00970C35">
        <w:rPr>
          <w:rFonts w:ascii="Times New Roman" w:hAnsi="Times New Roman" w:cs="Times New Roman"/>
        </w:rPr>
        <w:t xml:space="preserve"> firms from our sample.</w:t>
      </w:r>
    </w:p>
    <w:p w:rsidR="005C0461" w:rsidRPr="00970C35" w:rsidRDefault="005C0461" w:rsidP="005C0461">
      <w:pPr>
        <w:spacing w:after="0" w:line="480" w:lineRule="auto"/>
        <w:ind w:firstLine="288"/>
        <w:jc w:val="both"/>
        <w:rPr>
          <w:rFonts w:ascii="Times New Roman" w:hAnsi="Times New Roman" w:cs="Times New Roman"/>
        </w:rPr>
      </w:pPr>
      <w:r w:rsidRPr="00970C35">
        <w:rPr>
          <w:rFonts w:ascii="Times New Roman" w:hAnsi="Times New Roman" w:cs="Times New Roman"/>
        </w:rPr>
        <w:lastRenderedPageBreak/>
        <w:t xml:space="preserve">In order to show that the fourth-quarter capital expenditure effect only occurs in the fiscal quarters context and not in calendar quarters, we present the results from the firms that have </w:t>
      </w:r>
      <w:r w:rsidR="007C0C1C" w:rsidRPr="00970C35">
        <w:rPr>
          <w:rFonts w:ascii="Times New Roman" w:hAnsi="Times New Roman" w:cs="Times New Roman"/>
        </w:rPr>
        <w:t xml:space="preserve">a </w:t>
      </w:r>
      <w:r w:rsidRPr="00970C35">
        <w:rPr>
          <w:rFonts w:ascii="Times New Roman" w:hAnsi="Times New Roman" w:cs="Times New Roman"/>
        </w:rPr>
        <w:t>fiscal year end different from December</w:t>
      </w:r>
      <w:r w:rsidR="007C0C1C" w:rsidRPr="00970C35">
        <w:rPr>
          <w:rFonts w:ascii="Times New Roman" w:hAnsi="Times New Roman" w:cs="Times New Roman"/>
        </w:rPr>
        <w:t>,</w:t>
      </w:r>
      <w:r w:rsidRPr="00970C35">
        <w:rPr>
          <w:rFonts w:ascii="Times New Roman" w:hAnsi="Times New Roman" w:cs="Times New Roman"/>
        </w:rPr>
        <w:t xml:space="preserve"> and repeat the means and medians for our variables</w:t>
      </w:r>
      <w:r w:rsidR="004E6F88" w:rsidRPr="00970C35">
        <w:rPr>
          <w:rFonts w:ascii="Times New Roman" w:hAnsi="Times New Roman" w:cs="Times New Roman"/>
        </w:rPr>
        <w:t>.</w:t>
      </w:r>
      <w:r w:rsidRPr="00970C35">
        <w:rPr>
          <w:rFonts w:ascii="Times New Roman" w:hAnsi="Times New Roman" w:cs="Times New Roman"/>
        </w:rPr>
        <w:t xml:space="preserve"> Table 3 Panel B </w:t>
      </w:r>
      <w:r w:rsidR="004A27B0" w:rsidRPr="00970C35">
        <w:rPr>
          <w:rFonts w:ascii="Times New Roman" w:hAnsi="Times New Roman" w:cs="Times New Roman"/>
        </w:rPr>
        <w:t xml:space="preserve">and C </w:t>
      </w:r>
      <w:r w:rsidRPr="00970C35">
        <w:rPr>
          <w:rFonts w:ascii="Times New Roman" w:hAnsi="Times New Roman" w:cs="Times New Roman"/>
        </w:rPr>
        <w:t xml:space="preserve">show that the “fourth quarter effect” disappears when we </w:t>
      </w:r>
      <w:r w:rsidR="004A27B0" w:rsidRPr="00970C35">
        <w:rPr>
          <w:rFonts w:ascii="Times New Roman" w:hAnsi="Times New Roman" w:cs="Times New Roman"/>
        </w:rPr>
        <w:t xml:space="preserve">sort data by calendar year in the subsample that </w:t>
      </w:r>
      <w:r w:rsidRPr="00970C35">
        <w:rPr>
          <w:rFonts w:ascii="Times New Roman" w:hAnsi="Times New Roman" w:cs="Times New Roman"/>
        </w:rPr>
        <w:t>only include</w:t>
      </w:r>
      <w:r w:rsidR="004A27B0" w:rsidRPr="00970C35">
        <w:rPr>
          <w:rFonts w:ascii="Times New Roman" w:hAnsi="Times New Roman" w:cs="Times New Roman"/>
        </w:rPr>
        <w:t>s</w:t>
      </w:r>
      <w:r w:rsidRPr="00970C35">
        <w:rPr>
          <w:rFonts w:ascii="Times New Roman" w:hAnsi="Times New Roman" w:cs="Times New Roman"/>
        </w:rPr>
        <w:t xml:space="preserve"> firms whose fiscal year-ends do not coincide with calendar year-ends</w:t>
      </w:r>
      <w:r w:rsidR="007C0C1C" w:rsidRPr="00970C35">
        <w:rPr>
          <w:rFonts w:ascii="Times New Roman" w:hAnsi="Times New Roman" w:cs="Times New Roman"/>
        </w:rPr>
        <w:t>; however,</w:t>
      </w:r>
      <w:r w:rsidR="004A27B0" w:rsidRPr="00970C35">
        <w:rPr>
          <w:rFonts w:ascii="Times New Roman" w:hAnsi="Times New Roman" w:cs="Times New Roman"/>
        </w:rPr>
        <w:t xml:space="preserve"> it still persists when we sort by fiscal </w:t>
      </w:r>
      <w:r w:rsidR="004E6F88" w:rsidRPr="00970C35">
        <w:rPr>
          <w:rFonts w:ascii="Times New Roman" w:hAnsi="Times New Roman" w:cs="Times New Roman"/>
        </w:rPr>
        <w:t>quarter</w:t>
      </w:r>
      <w:r w:rsidR="004A27B0" w:rsidRPr="00970C35">
        <w:rPr>
          <w:rFonts w:ascii="Times New Roman" w:hAnsi="Times New Roman" w:cs="Times New Roman"/>
        </w:rPr>
        <w:t xml:space="preserve"> in the same subsample</w:t>
      </w:r>
      <w:r w:rsidRPr="00970C35">
        <w:rPr>
          <w:rFonts w:ascii="Times New Roman" w:hAnsi="Times New Roman" w:cs="Times New Roman"/>
        </w:rPr>
        <w:t>. Not surprisingly, we only have around 1</w:t>
      </w:r>
      <w:r w:rsidR="00A908EF" w:rsidRPr="00970C35">
        <w:rPr>
          <w:rFonts w:ascii="Times New Roman" w:hAnsi="Times New Roman" w:cs="Times New Roman"/>
        </w:rPr>
        <w:t>7</w:t>
      </w:r>
      <w:r w:rsidRPr="00970C35">
        <w:rPr>
          <w:rFonts w:ascii="Times New Roman" w:hAnsi="Times New Roman" w:cs="Times New Roman"/>
        </w:rPr>
        <w:t>,</w:t>
      </w:r>
      <w:r w:rsidR="00A908EF" w:rsidRPr="00970C35">
        <w:rPr>
          <w:rFonts w:ascii="Times New Roman" w:hAnsi="Times New Roman" w:cs="Times New Roman"/>
        </w:rPr>
        <w:t>35</w:t>
      </w:r>
      <w:r w:rsidRPr="00970C35">
        <w:rPr>
          <w:rFonts w:ascii="Times New Roman" w:hAnsi="Times New Roman" w:cs="Times New Roman"/>
        </w:rPr>
        <w:t xml:space="preserve">0 observations in each quarter because </w:t>
      </w:r>
      <w:r w:rsidR="007C0C1C" w:rsidRPr="00970C35">
        <w:rPr>
          <w:rFonts w:ascii="Times New Roman" w:hAnsi="Times New Roman" w:cs="Times New Roman"/>
        </w:rPr>
        <w:t xml:space="preserve">the </w:t>
      </w:r>
      <w:r w:rsidRPr="00970C35">
        <w:rPr>
          <w:rFonts w:ascii="Times New Roman" w:hAnsi="Times New Roman" w:cs="Times New Roman"/>
        </w:rPr>
        <w:t xml:space="preserve">majority of the observations in our full sample are from firms whose fiscal year-end coincides with calendar year-end. This separation of calendar and fiscal seasonality demonstrates that the “fourth quarter effect” is only due to fiscal year seasonality. </w:t>
      </w:r>
    </w:p>
    <w:p w:rsidR="007C0C1C" w:rsidRPr="00970C35" w:rsidRDefault="007C0C1C" w:rsidP="005C0461">
      <w:pPr>
        <w:spacing w:after="240" w:line="480" w:lineRule="auto"/>
        <w:jc w:val="center"/>
        <w:rPr>
          <w:rFonts w:ascii="Times New Roman" w:hAnsi="Times New Roman" w:cs="Times New Roman"/>
          <w:szCs w:val="23"/>
        </w:rPr>
      </w:pPr>
      <w:r w:rsidRPr="00970C35">
        <w:rPr>
          <w:rFonts w:ascii="Times New Roman" w:hAnsi="Times New Roman" w:cs="Times New Roman"/>
          <w:szCs w:val="23"/>
        </w:rPr>
        <w:t>[</w:t>
      </w:r>
      <w:r w:rsidR="005C0461" w:rsidRPr="00970C35">
        <w:rPr>
          <w:rFonts w:ascii="Times New Roman" w:hAnsi="Times New Roman" w:cs="Times New Roman"/>
          <w:szCs w:val="23"/>
        </w:rPr>
        <w:t>Insert</w:t>
      </w:r>
      <w:r w:rsidR="004E6F88" w:rsidRPr="00970C35">
        <w:rPr>
          <w:rFonts w:ascii="Times New Roman" w:hAnsi="Times New Roman" w:cs="Times New Roman"/>
          <w:szCs w:val="23"/>
        </w:rPr>
        <w:t xml:space="preserve"> Figure 1 </w:t>
      </w:r>
      <w:r w:rsidRPr="00970C35">
        <w:rPr>
          <w:rFonts w:ascii="Times New Roman" w:hAnsi="Times New Roman" w:cs="Times New Roman"/>
          <w:szCs w:val="23"/>
        </w:rPr>
        <w:t>here]</w:t>
      </w:r>
    </w:p>
    <w:p w:rsidR="005C0461" w:rsidRPr="00970C35" w:rsidRDefault="007C0C1C" w:rsidP="005C0461">
      <w:pPr>
        <w:spacing w:after="240" w:line="480" w:lineRule="auto"/>
        <w:jc w:val="center"/>
        <w:rPr>
          <w:rFonts w:ascii="Times New Roman" w:hAnsi="Times New Roman" w:cs="Times New Roman"/>
          <w:szCs w:val="23"/>
        </w:rPr>
      </w:pPr>
      <w:r w:rsidRPr="00970C35">
        <w:rPr>
          <w:rFonts w:ascii="Times New Roman" w:hAnsi="Times New Roman" w:cs="Times New Roman"/>
          <w:szCs w:val="23"/>
        </w:rPr>
        <w:t>[Insert</w:t>
      </w:r>
      <w:r w:rsidR="005C0461" w:rsidRPr="00970C35">
        <w:rPr>
          <w:rFonts w:ascii="Times New Roman" w:hAnsi="Times New Roman" w:cs="Times New Roman"/>
          <w:szCs w:val="23"/>
        </w:rPr>
        <w:t xml:space="preserve"> Table 3 here</w:t>
      </w:r>
      <w:r w:rsidRPr="00970C35">
        <w:rPr>
          <w:rFonts w:ascii="Times New Roman" w:hAnsi="Times New Roman" w:cs="Times New Roman"/>
          <w:szCs w:val="23"/>
        </w:rPr>
        <w:t>]</w:t>
      </w:r>
    </w:p>
    <w:p w:rsidR="00821BD4" w:rsidRPr="00970C35" w:rsidRDefault="00BF7092" w:rsidP="00821BD4">
      <w:pPr>
        <w:spacing w:after="0" w:line="480" w:lineRule="auto"/>
        <w:jc w:val="both"/>
        <w:rPr>
          <w:rFonts w:ascii="Times New Roman" w:hAnsi="Times New Roman" w:cs="Times New Roman"/>
        </w:rPr>
      </w:pPr>
      <w:r w:rsidRPr="00970C35">
        <w:rPr>
          <w:rFonts w:ascii="Times New Roman" w:hAnsi="Times New Roman" w:cs="Times New Roman"/>
        </w:rPr>
        <w:t>4</w:t>
      </w:r>
      <w:r w:rsidR="00821BD4" w:rsidRPr="00970C35">
        <w:rPr>
          <w:rFonts w:ascii="Times New Roman" w:hAnsi="Times New Roman" w:cs="Times New Roman"/>
        </w:rPr>
        <w:t>.</w:t>
      </w:r>
      <w:r w:rsidR="005C0461" w:rsidRPr="00970C35">
        <w:rPr>
          <w:rFonts w:ascii="Times New Roman" w:hAnsi="Times New Roman" w:cs="Times New Roman"/>
        </w:rPr>
        <w:t>2</w:t>
      </w:r>
      <w:r w:rsidR="00821BD4" w:rsidRPr="00970C35">
        <w:rPr>
          <w:rFonts w:ascii="Times New Roman" w:hAnsi="Times New Roman" w:cs="Times New Roman"/>
        </w:rPr>
        <w:t xml:space="preserve">. Regression </w:t>
      </w:r>
      <w:r w:rsidR="006269D6" w:rsidRPr="00970C35">
        <w:rPr>
          <w:rFonts w:ascii="Times New Roman" w:hAnsi="Times New Roman" w:cs="Times New Roman"/>
        </w:rPr>
        <w:t>S</w:t>
      </w:r>
      <w:r w:rsidR="00821BD4" w:rsidRPr="00970C35">
        <w:rPr>
          <w:rFonts w:ascii="Times New Roman" w:hAnsi="Times New Roman" w:cs="Times New Roman"/>
        </w:rPr>
        <w:t>pecification</w:t>
      </w:r>
    </w:p>
    <w:p w:rsidR="007E39B5" w:rsidRPr="00970C35" w:rsidRDefault="004E6F88" w:rsidP="007E39B5">
      <w:pPr>
        <w:spacing w:after="0" w:line="480" w:lineRule="auto"/>
        <w:jc w:val="both"/>
        <w:rPr>
          <w:rFonts w:ascii="Times New Roman" w:hAnsi="Times New Roman" w:cs="Times New Roman"/>
        </w:rPr>
      </w:pPr>
      <w:r w:rsidRPr="00970C35">
        <w:rPr>
          <w:rFonts w:ascii="Times New Roman" w:hAnsi="Times New Roman" w:cs="Times New Roman"/>
        </w:rPr>
        <w:t xml:space="preserve">Now that we confirm the “fourth quarter effect” of capital expenditure </w:t>
      </w:r>
      <w:r w:rsidR="00660B84" w:rsidRPr="00970C35">
        <w:rPr>
          <w:rFonts w:ascii="Times New Roman" w:hAnsi="Times New Roman" w:cs="Times New Roman"/>
        </w:rPr>
        <w:t>around</w:t>
      </w:r>
      <w:r w:rsidRPr="00970C35">
        <w:rPr>
          <w:rFonts w:ascii="Times New Roman" w:hAnsi="Times New Roman" w:cs="Times New Roman"/>
        </w:rPr>
        <w:t xml:space="preserve"> the</w:t>
      </w:r>
      <w:r w:rsidR="00CF0FF8" w:rsidRPr="00970C35">
        <w:rPr>
          <w:rFonts w:ascii="Times New Roman" w:hAnsi="Times New Roman" w:cs="Times New Roman"/>
        </w:rPr>
        <w:t xml:space="preserve"> world</w:t>
      </w:r>
      <w:r w:rsidRPr="00970C35">
        <w:rPr>
          <w:rFonts w:ascii="Times New Roman" w:hAnsi="Times New Roman" w:cs="Times New Roman"/>
        </w:rPr>
        <w:t xml:space="preserve">, the next question is in what environments are firms more likely to manifest this effect. In this section, we test the hypotheses we </w:t>
      </w:r>
      <w:r w:rsidR="007C0C1C" w:rsidRPr="00970C35">
        <w:rPr>
          <w:rFonts w:ascii="Times New Roman" w:hAnsi="Times New Roman" w:cs="Times New Roman"/>
        </w:rPr>
        <w:t>laid</w:t>
      </w:r>
      <w:r w:rsidRPr="00970C35">
        <w:rPr>
          <w:rFonts w:ascii="Times New Roman" w:hAnsi="Times New Roman" w:cs="Times New Roman"/>
        </w:rPr>
        <w:t xml:space="preserve"> out in section 2.</w:t>
      </w:r>
    </w:p>
    <w:p w:rsidR="00821BD4" w:rsidRPr="00970C35" w:rsidRDefault="00821BD4" w:rsidP="007E39B5">
      <w:pPr>
        <w:spacing w:after="0" w:line="480" w:lineRule="auto"/>
        <w:ind w:firstLine="288"/>
        <w:jc w:val="both"/>
        <w:rPr>
          <w:rFonts w:ascii="Times New Roman" w:hAnsi="Times New Roman" w:cs="Times New Roman"/>
          <w:position w:val="-12"/>
          <w:sz w:val="24"/>
        </w:rPr>
      </w:pPr>
      <w:r w:rsidRPr="00970C35">
        <w:rPr>
          <w:rFonts w:ascii="Times New Roman" w:hAnsi="Times New Roman" w:cs="Times New Roman"/>
          <w:szCs w:val="16"/>
        </w:rPr>
        <w:t xml:space="preserve">We use </w:t>
      </w:r>
      <w:r w:rsidR="00A92D6F" w:rsidRPr="00970C35">
        <w:rPr>
          <w:rFonts w:ascii="Times New Roman" w:hAnsi="Times New Roman" w:cs="Times New Roman"/>
          <w:szCs w:val="16"/>
        </w:rPr>
        <w:t xml:space="preserve">panel </w:t>
      </w:r>
      <w:r w:rsidRPr="00970C35">
        <w:rPr>
          <w:rFonts w:ascii="Times New Roman" w:hAnsi="Times New Roman" w:cs="Times New Roman"/>
          <w:szCs w:val="16"/>
        </w:rPr>
        <w:t>regression analysis to explore the relationship between firm</w:t>
      </w:r>
      <w:r w:rsidR="007C0C1C" w:rsidRPr="00970C35">
        <w:rPr>
          <w:rFonts w:ascii="Times New Roman" w:hAnsi="Times New Roman" w:cs="Times New Roman"/>
          <w:szCs w:val="16"/>
        </w:rPr>
        <w:t>s</w:t>
      </w:r>
      <w:r w:rsidRPr="00970C35">
        <w:rPr>
          <w:rFonts w:ascii="Times New Roman" w:hAnsi="Times New Roman" w:cs="Times New Roman"/>
          <w:szCs w:val="16"/>
        </w:rPr>
        <w:t>’ seasonal spending pattern</w:t>
      </w:r>
      <w:r w:rsidR="007C0C1C" w:rsidRPr="00970C35">
        <w:rPr>
          <w:rFonts w:ascii="Times New Roman" w:hAnsi="Times New Roman" w:cs="Times New Roman"/>
          <w:szCs w:val="16"/>
        </w:rPr>
        <w:t>,</w:t>
      </w:r>
      <w:r w:rsidRPr="00970C35">
        <w:rPr>
          <w:rFonts w:ascii="Times New Roman" w:hAnsi="Times New Roman" w:cs="Times New Roman"/>
          <w:szCs w:val="16"/>
        </w:rPr>
        <w:t xml:space="preserve"> and variables measuring </w:t>
      </w:r>
      <w:r w:rsidR="00A92D6F" w:rsidRPr="00970C35">
        <w:rPr>
          <w:rFonts w:ascii="Times New Roman" w:hAnsi="Times New Roman" w:cs="Times New Roman"/>
          <w:szCs w:val="16"/>
        </w:rPr>
        <w:t>country</w:t>
      </w:r>
      <w:r w:rsidRPr="00970C35">
        <w:rPr>
          <w:rFonts w:ascii="Times New Roman" w:hAnsi="Times New Roman" w:cs="Times New Roman"/>
          <w:szCs w:val="16"/>
        </w:rPr>
        <w:t xml:space="preserve"> characteristics. We then address possible concerns with our analysis</w:t>
      </w:r>
      <w:r w:rsidR="00A92D6F" w:rsidRPr="00970C35">
        <w:rPr>
          <w:rFonts w:ascii="Times New Roman" w:hAnsi="Times New Roman" w:cs="Times New Roman"/>
          <w:szCs w:val="16"/>
        </w:rPr>
        <w:t xml:space="preserve"> in section 5</w:t>
      </w:r>
      <w:r w:rsidRPr="00970C35">
        <w:rPr>
          <w:rFonts w:ascii="Times New Roman" w:hAnsi="Times New Roman" w:cs="Times New Roman"/>
          <w:szCs w:val="16"/>
        </w:rPr>
        <w:t>. Using firm-level data, we establish the following specification:</w:t>
      </w:r>
      <w:r w:rsidRPr="00970C35">
        <w:rPr>
          <w:rFonts w:ascii="Times New Roman" w:hAnsi="Times New Roman" w:cs="Times New Roman"/>
          <w:position w:val="-12"/>
          <w:sz w:val="24"/>
        </w:rPr>
        <w:t xml:space="preserve"> </w:t>
      </w:r>
    </w:p>
    <w:p w:rsidR="00821BD4" w:rsidRPr="00970C35" w:rsidRDefault="002A2FA8" w:rsidP="00821BD4">
      <w:pPr>
        <w:spacing w:after="0" w:line="480" w:lineRule="auto"/>
        <w:jc w:val="both"/>
        <w:rPr>
          <w:rFonts w:ascii="Times New Roman" w:hAnsi="Times New Roman" w:cs="Times New Roman"/>
          <w:szCs w:val="16"/>
        </w:rPr>
      </w:pPr>
      <w:r w:rsidRPr="00970C35">
        <w:rPr>
          <w:rFonts w:ascii="Times New Roman" w:hAnsi="Times New Roman" w:cs="Times New Roman"/>
          <w:position w:val="-14"/>
        </w:rPr>
        <w:object w:dxaOrig="88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18.75pt" o:ole="">
            <v:imagedata r:id="rId8" o:title=""/>
          </v:shape>
          <o:OLEObject Type="Embed" ProgID="Equation.DSMT4" ShapeID="_x0000_i1025" DrawAspect="Content" ObjectID="_1560695989" r:id="rId9"/>
        </w:object>
      </w:r>
      <w:r w:rsidR="00821BD4" w:rsidRPr="00970C35">
        <w:rPr>
          <w:rFonts w:ascii="Times New Roman" w:hAnsi="Times New Roman" w:cs="Times New Roman"/>
          <w:position w:val="-14"/>
          <w:sz w:val="20"/>
        </w:rPr>
        <w:t xml:space="preserve">   (1</w:t>
      </w:r>
      <w:r w:rsidRPr="00970C35">
        <w:rPr>
          <w:rFonts w:ascii="Times New Roman" w:hAnsi="Times New Roman" w:cs="Times New Roman"/>
          <w:position w:val="-14"/>
          <w:sz w:val="20"/>
        </w:rPr>
        <w:t xml:space="preserve">) </w:t>
      </w:r>
      <w:r w:rsidR="00821BD4" w:rsidRPr="00970C35">
        <w:rPr>
          <w:rFonts w:ascii="Times New Roman" w:hAnsi="Times New Roman" w:cs="Times New Roman"/>
          <w:position w:val="-14"/>
        </w:rPr>
        <w:br/>
      </w:r>
      <w:r w:rsidR="00821BD4" w:rsidRPr="00970C35">
        <w:rPr>
          <w:rFonts w:ascii="Times New Roman" w:hAnsi="Times New Roman" w:cs="Times New Roman"/>
          <w:szCs w:val="16"/>
        </w:rPr>
        <w:t xml:space="preserve">where </w:t>
      </w:r>
      <w:r w:rsidR="00821BD4" w:rsidRPr="00970C35">
        <w:rPr>
          <w:rFonts w:ascii="Times New Roman" w:hAnsi="Times New Roman" w:cs="Times New Roman"/>
          <w:i/>
          <w:szCs w:val="16"/>
        </w:rPr>
        <w:t>i</w:t>
      </w:r>
      <w:r w:rsidR="00821BD4" w:rsidRPr="00970C35">
        <w:rPr>
          <w:rFonts w:ascii="Times New Roman" w:hAnsi="Times New Roman" w:cs="Times New Roman"/>
          <w:szCs w:val="16"/>
        </w:rPr>
        <w:t xml:space="preserve"> denotes a firm, </w:t>
      </w:r>
      <w:r w:rsidR="00821BD4" w:rsidRPr="00970C35">
        <w:rPr>
          <w:rFonts w:ascii="Times New Roman" w:hAnsi="Times New Roman" w:cs="Times New Roman"/>
          <w:i/>
          <w:szCs w:val="16"/>
        </w:rPr>
        <w:t>t</w:t>
      </w:r>
      <w:r w:rsidR="00821BD4" w:rsidRPr="00970C35">
        <w:rPr>
          <w:rFonts w:ascii="Times New Roman" w:hAnsi="Times New Roman" w:cs="Times New Roman"/>
          <w:szCs w:val="16"/>
        </w:rPr>
        <w:t xml:space="preserve"> denotes a fiscal quarter, </w:t>
      </w:r>
      <w:r w:rsidR="00821BD4" w:rsidRPr="00970C35">
        <w:rPr>
          <w:rFonts w:ascii="Times New Roman" w:hAnsi="Times New Roman" w:cs="Times New Roman"/>
          <w:i/>
          <w:szCs w:val="16"/>
        </w:rPr>
        <w:t>j</w:t>
      </w:r>
      <w:r w:rsidR="00821BD4" w:rsidRPr="00970C35">
        <w:rPr>
          <w:rFonts w:ascii="Times New Roman" w:hAnsi="Times New Roman" w:cs="Times New Roman"/>
          <w:szCs w:val="16"/>
        </w:rPr>
        <w:t xml:space="preserve"> is an industry, and </w:t>
      </w:r>
      <w:r w:rsidR="00821BD4" w:rsidRPr="00970C35">
        <w:rPr>
          <w:rFonts w:ascii="Times New Roman" w:hAnsi="Times New Roman" w:cs="Times New Roman"/>
          <w:i/>
          <w:szCs w:val="16"/>
        </w:rPr>
        <w:t>k</w:t>
      </w:r>
      <w:r w:rsidR="00821BD4" w:rsidRPr="00970C35">
        <w:rPr>
          <w:rFonts w:ascii="Times New Roman" w:hAnsi="Times New Roman" w:cs="Times New Roman"/>
          <w:szCs w:val="16"/>
        </w:rPr>
        <w:t xml:space="preserve"> is a country. The dependent variable y</w:t>
      </w:r>
      <w:r w:rsidR="00821BD4" w:rsidRPr="00970C35">
        <w:rPr>
          <w:rFonts w:ascii="Times New Roman" w:hAnsi="Times New Roman" w:cs="Times New Roman"/>
          <w:szCs w:val="16"/>
          <w:vertAlign w:val="subscript"/>
        </w:rPr>
        <w:t xml:space="preserve">i,t </w:t>
      </w:r>
      <w:r w:rsidR="00821BD4" w:rsidRPr="00970C35">
        <w:rPr>
          <w:rFonts w:ascii="Times New Roman" w:hAnsi="Times New Roman" w:cs="Times New Roman"/>
          <w:szCs w:val="16"/>
        </w:rPr>
        <w:t xml:space="preserve">is our measure of investment CapEx; </w:t>
      </w:r>
      <w:r w:rsidR="007D47AF" w:rsidRPr="00970C35">
        <w:rPr>
          <w:rFonts w:ascii="Times New Roman" w:hAnsi="Times New Roman" w:cs="Times New Roman"/>
          <w:szCs w:val="16"/>
        </w:rPr>
        <w:t>D4</w:t>
      </w:r>
      <w:r w:rsidR="00821BD4" w:rsidRPr="00970C35">
        <w:rPr>
          <w:rFonts w:ascii="Times New Roman" w:hAnsi="Times New Roman" w:cs="Times New Roman"/>
          <w:szCs w:val="16"/>
        </w:rPr>
        <w:t xml:space="preserve"> is the dummy variable for fourth fiscal quarter; X</w:t>
      </w:r>
      <w:r w:rsidR="00821BD4" w:rsidRPr="00970C35">
        <w:rPr>
          <w:rFonts w:ascii="Times New Roman" w:hAnsi="Times New Roman" w:cs="Times New Roman"/>
          <w:szCs w:val="16"/>
          <w:vertAlign w:val="subscript"/>
        </w:rPr>
        <w:t>i,t-1</w:t>
      </w:r>
      <w:r w:rsidR="00821BD4" w:rsidRPr="00970C35">
        <w:rPr>
          <w:rFonts w:ascii="Times New Roman" w:hAnsi="Times New Roman" w:cs="Times New Roman"/>
          <w:szCs w:val="16"/>
        </w:rPr>
        <w:t xml:space="preserve"> is a lagged firm-level characteristic that is of interest to us, and </w:t>
      </w:r>
      <w:r w:rsidR="00821BD4" w:rsidRPr="00970C35">
        <w:rPr>
          <w:rFonts w:ascii="Times New Roman" w:hAnsi="Times New Roman" w:cs="Times New Roman"/>
          <w:i/>
          <w:szCs w:val="16"/>
        </w:rPr>
        <w:t>ϕ</w:t>
      </w:r>
      <w:r w:rsidR="005B28EF" w:rsidRPr="00970C35">
        <w:rPr>
          <w:rFonts w:ascii="Times New Roman" w:hAnsi="Times New Roman" w:cs="Times New Roman"/>
          <w:i/>
          <w:szCs w:val="16"/>
          <w:vertAlign w:val="subscript"/>
        </w:rPr>
        <w:t>k</w:t>
      </w:r>
      <w:r w:rsidR="00821BD4" w:rsidRPr="00970C35">
        <w:rPr>
          <w:rFonts w:ascii="Times New Roman" w:hAnsi="Times New Roman" w:cs="Times New Roman"/>
          <w:i/>
          <w:szCs w:val="16"/>
          <w:vertAlign w:val="subscript"/>
        </w:rPr>
        <w:t>,t</w:t>
      </w:r>
      <w:r w:rsidR="00821BD4" w:rsidRPr="00970C35">
        <w:rPr>
          <w:rFonts w:ascii="Times New Roman" w:hAnsi="Times New Roman" w:cs="Times New Roman"/>
          <w:szCs w:val="16"/>
        </w:rPr>
        <w:t xml:space="preserve"> is a country-level characteristic. λ</w:t>
      </w:r>
      <w:r w:rsidR="00821BD4" w:rsidRPr="00970C35">
        <w:rPr>
          <w:rFonts w:ascii="Times New Roman" w:hAnsi="Times New Roman" w:cs="Times New Roman"/>
          <w:szCs w:val="16"/>
          <w:vertAlign w:val="subscript"/>
        </w:rPr>
        <w:t>i</w:t>
      </w:r>
      <w:r w:rsidR="00821BD4" w:rsidRPr="00970C35">
        <w:rPr>
          <w:rFonts w:ascii="Times New Roman" w:hAnsi="Times New Roman" w:cs="Times New Roman"/>
          <w:szCs w:val="16"/>
        </w:rPr>
        <w:t xml:space="preserve"> is firm fixed effect; </w:t>
      </w:r>
      <w:r w:rsidR="00821BD4" w:rsidRPr="00970C35">
        <w:rPr>
          <w:rFonts w:ascii="Times New Roman" w:hAnsi="Times New Roman" w:cs="Times New Roman"/>
          <w:position w:val="-14"/>
          <w:szCs w:val="16"/>
        </w:rPr>
        <w:object w:dxaOrig="560" w:dyaOrig="380">
          <v:shape id="_x0000_i1026" type="#_x0000_t75" style="width:30pt;height:19.5pt" o:ole="">
            <v:imagedata r:id="rId10" o:title=""/>
          </v:shape>
          <o:OLEObject Type="Embed" ProgID="Equation.DSMT4" ShapeID="_x0000_i1026" DrawAspect="Content" ObjectID="_1560695990" r:id="rId11"/>
        </w:object>
      </w:r>
      <w:r w:rsidR="00821BD4" w:rsidRPr="00970C35">
        <w:rPr>
          <w:rFonts w:ascii="Times New Roman" w:hAnsi="Times New Roman" w:cs="Times New Roman"/>
          <w:szCs w:val="16"/>
        </w:rPr>
        <w:t xml:space="preserve"> is Fama-French-48 industry (</w:t>
      </w:r>
      <w:r w:rsidR="00821BD4" w:rsidRPr="00970C35">
        <w:rPr>
          <w:rFonts w:ascii="Times New Roman" w:hAnsi="Times New Roman" w:cs="Times New Roman"/>
          <w:szCs w:val="16"/>
        </w:rPr>
        <w:fldChar w:fldCharType="begin" w:fldLock="1"/>
      </w:r>
      <w:r w:rsidR="00E57761">
        <w:rPr>
          <w:rFonts w:ascii="Times New Roman" w:hAnsi="Times New Roman" w:cs="Times New Roman"/>
          <w:szCs w:val="16"/>
        </w:rPr>
        <w:instrText>ADDIN CSL_CITATION { "citationItems" : [ { "id" : "ITEM-1", "itemData" : { "DOI" : "10.1016/S0304-405X(96)00896-3", "ISBN" : "0304405X", "ISSN" : "0304405X", "PMID" : "12249235", "abstract" : "Estimates of the cost of equity for industries are imprecise. Standard errors of more than 3.0% per year are typical for both the CAPM and the three-factor model of Fama and French (1993). These large standard errors are the result of(i) uncertainty about true factor risk premiums and (ii) imp ecise estimates of the loadings of industries on the risk factors. Estimates of the cost of equity for firms and projects are surely even less precise.", "author" : [ { "dropping-particle" : "", "family" : "Fama", "given" : "Eugene F.", "non-dropping-particle" : "", "parse-names" : false, "suffix" : "" }, { "dropping-particle" : "", "family" : "French", "given" : "Kenneth R.", "non-dropping-particle" : "", "parse-names" : false, "suffix" : "" } ], "container-title" : "Journal of Financial Economics", "id" : "ITEM-1", "issue" : "2", "issued" : { "date-parts" : [ [ "1997" ] ] }, "page" : "153-193", "title" : "Industry costs of equity", "type" : "article-journal", "volume" : "43" }, "uris" : [ "http://www.mendeley.com/documents/?uuid=0abb72bc-aafd-4806-b50a-f2b562a9e175" ] } ], "mendeley" : { "formattedCitation" : "Fama and French (1997)", "manualFormatting" : "Fama and French, 1997", "plainTextFormattedCitation" : "Fama and French (1997)", "previouslyFormattedCitation" : "Fama and French (1997)" }, "properties" : { "noteIndex" : 0 }, "schema" : "https://github.com/citation-style-language/schema/raw/master/csl-citation.json" }</w:instrText>
      </w:r>
      <w:r w:rsidR="00821BD4" w:rsidRPr="00970C35">
        <w:rPr>
          <w:rFonts w:ascii="Times New Roman" w:hAnsi="Times New Roman" w:cs="Times New Roman"/>
          <w:szCs w:val="16"/>
        </w:rPr>
        <w:fldChar w:fldCharType="separate"/>
      </w:r>
      <w:r w:rsidR="00821BD4" w:rsidRPr="00970C35">
        <w:rPr>
          <w:rFonts w:ascii="Times New Roman" w:hAnsi="Times New Roman" w:cs="Times New Roman"/>
          <w:noProof/>
          <w:szCs w:val="16"/>
        </w:rPr>
        <w:t>Fama and French, 1997</w:t>
      </w:r>
      <w:r w:rsidR="00821BD4" w:rsidRPr="00970C35">
        <w:rPr>
          <w:rFonts w:ascii="Times New Roman" w:hAnsi="Times New Roman" w:cs="Times New Roman"/>
          <w:szCs w:val="16"/>
        </w:rPr>
        <w:fldChar w:fldCharType="end"/>
      </w:r>
      <w:r w:rsidR="00821BD4" w:rsidRPr="00970C35">
        <w:rPr>
          <w:rFonts w:ascii="Times New Roman" w:hAnsi="Times New Roman" w:cs="Times New Roman"/>
          <w:szCs w:val="16"/>
        </w:rPr>
        <w:t>) times calendar-year-quarter fixed effects to control for time-varying investment opportunities. χ</w:t>
      </w:r>
      <w:r w:rsidR="00821BD4" w:rsidRPr="00970C35">
        <w:rPr>
          <w:rFonts w:ascii="Times New Roman" w:hAnsi="Times New Roman" w:cs="Times New Roman"/>
          <w:szCs w:val="16"/>
          <w:vertAlign w:val="subscript"/>
        </w:rPr>
        <w:t xml:space="preserve">i,t </w:t>
      </w:r>
      <w:r w:rsidR="00821BD4" w:rsidRPr="00970C35">
        <w:rPr>
          <w:rFonts w:ascii="Times New Roman" w:hAnsi="Times New Roman" w:cs="Times New Roman"/>
          <w:szCs w:val="16"/>
        </w:rPr>
        <w:t xml:space="preserve">includes firm-level controls such as cash </w:t>
      </w:r>
      <w:r w:rsidR="00821BD4" w:rsidRPr="00970C35">
        <w:rPr>
          <w:rFonts w:ascii="Times New Roman" w:hAnsi="Times New Roman" w:cs="Times New Roman"/>
          <w:szCs w:val="16"/>
        </w:rPr>
        <w:lastRenderedPageBreak/>
        <w:t xml:space="preserve">flow, </w:t>
      </w:r>
      <w:r w:rsidR="005C0461" w:rsidRPr="00970C35">
        <w:rPr>
          <w:rFonts w:ascii="Times New Roman" w:hAnsi="Times New Roman" w:cs="Times New Roman"/>
          <w:szCs w:val="16"/>
        </w:rPr>
        <w:t>q</w:t>
      </w:r>
      <w:r w:rsidR="00821BD4" w:rsidRPr="00970C35">
        <w:rPr>
          <w:rFonts w:ascii="Times New Roman" w:hAnsi="Times New Roman" w:cs="Times New Roman"/>
          <w:szCs w:val="16"/>
        </w:rPr>
        <w:t>, leverage, change in cash holdings, tax rate</w:t>
      </w:r>
      <w:r w:rsidR="007C0C1C" w:rsidRPr="00970C35">
        <w:rPr>
          <w:rFonts w:ascii="Times New Roman" w:hAnsi="Times New Roman" w:cs="Times New Roman"/>
          <w:szCs w:val="16"/>
        </w:rPr>
        <w:t>,</w:t>
      </w:r>
      <w:r w:rsidR="00821BD4" w:rsidRPr="00970C35">
        <w:rPr>
          <w:rFonts w:ascii="Times New Roman" w:hAnsi="Times New Roman" w:cs="Times New Roman"/>
          <w:szCs w:val="16"/>
        </w:rPr>
        <w:t xml:space="preserve"> and the interaction term between tax rate and fourth quarter dummy. </w:t>
      </w:r>
      <w:r w:rsidR="007C0C1C" w:rsidRPr="00970C35">
        <w:rPr>
          <w:rFonts w:ascii="Times New Roman" w:hAnsi="Times New Roman" w:cs="Times New Roman"/>
          <w:szCs w:val="16"/>
        </w:rPr>
        <w:t xml:space="preserve">In </w:t>
      </w:r>
      <w:r w:rsidR="00821BD4" w:rsidRPr="00970C35">
        <w:rPr>
          <w:rFonts w:ascii="Times New Roman" w:hAnsi="Times New Roman" w:cs="Times New Roman"/>
          <w:szCs w:val="16"/>
        </w:rPr>
        <w:t>cross-country analysis</w:t>
      </w:r>
      <w:r w:rsidR="007C0C1C" w:rsidRPr="00970C35">
        <w:rPr>
          <w:rFonts w:ascii="Times New Roman" w:hAnsi="Times New Roman" w:cs="Times New Roman"/>
          <w:szCs w:val="16"/>
        </w:rPr>
        <w:t>,</w:t>
      </w:r>
      <w:r w:rsidR="00821BD4" w:rsidRPr="00970C35">
        <w:rPr>
          <w:rFonts w:ascii="Times New Roman" w:hAnsi="Times New Roman" w:cs="Times New Roman"/>
          <w:szCs w:val="16"/>
        </w:rPr>
        <w:t xml:space="preserve"> we also include natural logarithm of GDP per capita and annual GDP growth rate in our equation.</w:t>
      </w:r>
    </w:p>
    <w:p w:rsidR="00821BD4" w:rsidRPr="00970C35" w:rsidRDefault="00821BD4" w:rsidP="002A2FA8">
      <w:pPr>
        <w:spacing w:after="120" w:line="480" w:lineRule="auto"/>
        <w:ind w:firstLine="288"/>
        <w:jc w:val="both"/>
        <w:rPr>
          <w:rFonts w:ascii="Times New Roman" w:hAnsi="Times New Roman" w:cs="Times New Roman"/>
          <w:szCs w:val="16"/>
        </w:rPr>
      </w:pPr>
      <w:r w:rsidRPr="00970C35">
        <w:rPr>
          <w:rFonts w:ascii="Times New Roman" w:hAnsi="Times New Roman" w:cs="Times New Roman"/>
          <w:szCs w:val="16"/>
        </w:rPr>
        <w:t>Note that regression equation (1) is the comprehensive version of our regression specifications, and we use variations of equation (1) depending on what we investigate. For example, in the next section</w:t>
      </w:r>
      <w:r w:rsidR="007C0C1C" w:rsidRPr="00970C35">
        <w:rPr>
          <w:rFonts w:ascii="Times New Roman" w:hAnsi="Times New Roman" w:cs="Times New Roman"/>
          <w:szCs w:val="16"/>
        </w:rPr>
        <w:t>,</w:t>
      </w:r>
      <w:r w:rsidRPr="00970C35">
        <w:rPr>
          <w:rFonts w:ascii="Times New Roman" w:hAnsi="Times New Roman" w:cs="Times New Roman"/>
          <w:szCs w:val="16"/>
        </w:rPr>
        <w:t xml:space="preserve"> we study firm-level variations in</w:t>
      </w:r>
      <w:r w:rsidR="007C0C1C" w:rsidRPr="00970C35">
        <w:rPr>
          <w:rFonts w:ascii="Times New Roman" w:hAnsi="Times New Roman" w:cs="Times New Roman"/>
          <w:szCs w:val="16"/>
        </w:rPr>
        <w:t xml:space="preserve"> a</w:t>
      </w:r>
      <w:r w:rsidRPr="00970C35">
        <w:rPr>
          <w:rFonts w:ascii="Times New Roman" w:hAnsi="Times New Roman" w:cs="Times New Roman"/>
          <w:szCs w:val="16"/>
        </w:rPr>
        <w:t xml:space="preserve"> pooled sample and therefore skip the country-level variables. In later sections</w:t>
      </w:r>
      <w:r w:rsidR="007C0C1C" w:rsidRPr="00970C35">
        <w:rPr>
          <w:rFonts w:ascii="Times New Roman" w:hAnsi="Times New Roman" w:cs="Times New Roman"/>
          <w:szCs w:val="16"/>
        </w:rPr>
        <w:t>,</w:t>
      </w:r>
      <w:r w:rsidRPr="00970C35">
        <w:rPr>
          <w:rFonts w:ascii="Times New Roman" w:hAnsi="Times New Roman" w:cs="Times New Roman"/>
          <w:szCs w:val="16"/>
        </w:rPr>
        <w:t xml:space="preserve"> we may focus on country-level variables and drop some firm-level ones, or use the full version of (1) when we combine both firm-level and country-level variables.</w:t>
      </w:r>
    </w:p>
    <w:p w:rsidR="00821BD4" w:rsidRPr="00970C35" w:rsidRDefault="00BF7092" w:rsidP="00821BD4">
      <w:pPr>
        <w:spacing w:after="0" w:line="480" w:lineRule="auto"/>
        <w:jc w:val="both"/>
        <w:rPr>
          <w:rFonts w:ascii="Times New Roman" w:hAnsi="Times New Roman" w:cs="Times New Roman"/>
        </w:rPr>
      </w:pPr>
      <w:r w:rsidRPr="00970C35">
        <w:rPr>
          <w:rFonts w:ascii="Times New Roman" w:hAnsi="Times New Roman" w:cs="Times New Roman"/>
        </w:rPr>
        <w:t>4</w:t>
      </w:r>
      <w:r w:rsidR="00821BD4" w:rsidRPr="00970C35">
        <w:rPr>
          <w:rFonts w:ascii="Times New Roman" w:hAnsi="Times New Roman" w:cs="Times New Roman"/>
        </w:rPr>
        <w:t>.</w:t>
      </w:r>
      <w:r w:rsidR="005C0461" w:rsidRPr="00970C35">
        <w:rPr>
          <w:rFonts w:ascii="Times New Roman" w:hAnsi="Times New Roman" w:cs="Times New Roman"/>
        </w:rPr>
        <w:t>3</w:t>
      </w:r>
      <w:r w:rsidR="00821BD4" w:rsidRPr="00970C35">
        <w:rPr>
          <w:rFonts w:ascii="Times New Roman" w:hAnsi="Times New Roman" w:cs="Times New Roman"/>
        </w:rPr>
        <w:t xml:space="preserve">. Cross-firm </w:t>
      </w:r>
      <w:r w:rsidR="006269D6" w:rsidRPr="00970C35">
        <w:rPr>
          <w:rFonts w:ascii="Times New Roman" w:hAnsi="Times New Roman" w:cs="Times New Roman"/>
        </w:rPr>
        <w:t>A</w:t>
      </w:r>
      <w:r w:rsidR="00821BD4" w:rsidRPr="00970C35">
        <w:rPr>
          <w:rFonts w:ascii="Times New Roman" w:hAnsi="Times New Roman" w:cs="Times New Roman"/>
        </w:rPr>
        <w:t xml:space="preserve">nalysis in </w:t>
      </w:r>
      <w:r w:rsidR="006269D6" w:rsidRPr="00970C35">
        <w:rPr>
          <w:rFonts w:ascii="Times New Roman" w:hAnsi="Times New Roman" w:cs="Times New Roman"/>
        </w:rPr>
        <w:t>P</w:t>
      </w:r>
      <w:r w:rsidR="00821BD4" w:rsidRPr="00970C35">
        <w:rPr>
          <w:rFonts w:ascii="Times New Roman" w:hAnsi="Times New Roman" w:cs="Times New Roman"/>
        </w:rPr>
        <w:t xml:space="preserve">ooled </w:t>
      </w:r>
      <w:r w:rsidR="006269D6" w:rsidRPr="00970C35">
        <w:rPr>
          <w:rFonts w:ascii="Times New Roman" w:hAnsi="Times New Roman" w:cs="Times New Roman"/>
        </w:rPr>
        <w:t>S</w:t>
      </w:r>
      <w:r w:rsidR="00821BD4" w:rsidRPr="00970C35">
        <w:rPr>
          <w:rFonts w:ascii="Times New Roman" w:hAnsi="Times New Roman" w:cs="Times New Roman"/>
        </w:rPr>
        <w:t>ample</w:t>
      </w:r>
    </w:p>
    <w:p w:rsidR="00821BD4" w:rsidRPr="00970C35" w:rsidRDefault="00821BD4" w:rsidP="00821BD4">
      <w:pPr>
        <w:spacing w:after="0" w:line="480" w:lineRule="auto"/>
        <w:jc w:val="both"/>
        <w:rPr>
          <w:rFonts w:ascii="Times New Roman" w:hAnsi="Times New Roman" w:cs="Times New Roman"/>
          <w:szCs w:val="16"/>
        </w:rPr>
      </w:pPr>
      <w:r w:rsidRPr="00970C35">
        <w:rPr>
          <w:rFonts w:ascii="Times New Roman" w:hAnsi="Times New Roman" w:cs="Times New Roman"/>
        </w:rPr>
        <w:t xml:space="preserve">In this section, we </w:t>
      </w:r>
      <w:r w:rsidR="002A2FA8" w:rsidRPr="00970C35">
        <w:rPr>
          <w:rFonts w:ascii="Times New Roman" w:hAnsi="Times New Roman" w:cs="Times New Roman"/>
        </w:rPr>
        <w:t xml:space="preserve">take a brief digression and </w:t>
      </w:r>
      <w:r w:rsidRPr="00970C35">
        <w:rPr>
          <w:rFonts w:ascii="Times New Roman" w:hAnsi="Times New Roman" w:cs="Times New Roman"/>
        </w:rPr>
        <w:t xml:space="preserve">verify the relationship between the </w:t>
      </w:r>
      <w:r w:rsidR="003A7D27" w:rsidRPr="00970C35">
        <w:rPr>
          <w:rFonts w:ascii="Times New Roman" w:hAnsi="Times New Roman" w:cs="Times New Roman"/>
        </w:rPr>
        <w:t>“</w:t>
      </w:r>
      <w:r w:rsidRPr="00970C35">
        <w:rPr>
          <w:rFonts w:ascii="Times New Roman" w:hAnsi="Times New Roman" w:cs="Times New Roman"/>
        </w:rPr>
        <w:t>fourth quarter effect</w:t>
      </w:r>
      <w:r w:rsidR="003A7D27" w:rsidRPr="00970C35">
        <w:rPr>
          <w:rFonts w:ascii="Times New Roman" w:hAnsi="Times New Roman" w:cs="Times New Roman"/>
        </w:rPr>
        <w:t>”</w:t>
      </w:r>
      <w:r w:rsidRPr="00970C35">
        <w:rPr>
          <w:rFonts w:ascii="Times New Roman" w:hAnsi="Times New Roman" w:cs="Times New Roman"/>
        </w:rPr>
        <w:t xml:space="preserve"> and firm-level variables </w:t>
      </w:r>
      <w:r w:rsidR="007C0C1C" w:rsidRPr="00970C35">
        <w:rPr>
          <w:rFonts w:ascii="Times New Roman" w:hAnsi="Times New Roman" w:cs="Times New Roman"/>
        </w:rPr>
        <w:t>posited by</w:t>
      </w:r>
      <w:r w:rsidRPr="00970C35">
        <w:rPr>
          <w:rFonts w:ascii="Times New Roman" w:hAnsi="Times New Roman" w:cs="Times New Roman"/>
        </w:rPr>
        <w:t xml:space="preserve"> </w:t>
      </w:r>
      <w:r w:rsidR="002A2FA8"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"10.1016/S0929-1199(01)00033-5", "ISBN" : "0929-1199", "ISSN" : "09291199", "abstract" : "Using the quarterly Compustat files, we present empirical findings that business capital investment is significantly higher in the fourth quarter than in other quarters. Even after controlling for business capital investment determinants, we find that the fourth quarter capital investment is significantly larger but less sensitive to investment opportunities than other quarters' capital investment. This phenomenon is more evident for firms with larger cash holdings than for firms with smaller cash holdings, for larger firms than for smaller firms, and for diversified firms than for stand-alone firms. Our findings suggest a high level of agency costs in corporate investment decisions. ?? 2002 Elsevier Science B.V. All rights reserved.", "author" : [ { "dropping-particle" : "", "family" : "Shin", "given" : "Hyun-Han", "non-dropping-particle" : "", "parse-names" : false, "suffix" : "" }, { "dropping-particle" : "", "family" : "Kim", "given" : "Yong H.", "non-dropping-particle" : "", "parse-names" : false, "suffix" : "" } ], "container-title" : "Journal of Corporate Finance", "id" : "ITEM-1", "issued" : { "date-parts" : [ [ "2002" ] ] }, "page" : "139-158", "title" : "Agency costs and efficiency of business capital investment: Evidence from quarterly capital expenditures", "type" : "article-journal", "volume" : "8" }, "uris" : [ "http://www.mendeley.com/documents/?uuid=1ecc75bf-057a-4382-be94-515f54fd7cd6" ] } ], "mendeley" : { "formattedCitation" : "Shin and Kim (2002)", "plainTextFormattedCitation" : "Shin and Kim (2002)", "previouslyFormattedCitation" : "Shin and Kim (2002)" }, "properties" : { "noteIndex" : 0 }, "schema" : "https://github.com/citation-style-language/schema/raw/master/csl-citation.json" }</w:instrText>
      </w:r>
      <w:r w:rsidR="002A2FA8" w:rsidRPr="00970C35">
        <w:rPr>
          <w:rFonts w:ascii="Times New Roman" w:hAnsi="Times New Roman" w:cs="Times New Roman"/>
        </w:rPr>
        <w:fldChar w:fldCharType="separate"/>
      </w:r>
      <w:r w:rsidR="00C462AD" w:rsidRPr="00970C35">
        <w:rPr>
          <w:rFonts w:ascii="Times New Roman" w:hAnsi="Times New Roman" w:cs="Times New Roman"/>
          <w:noProof/>
        </w:rPr>
        <w:t>Shin and Kim (2002)</w:t>
      </w:r>
      <w:r w:rsidR="002A2FA8" w:rsidRPr="00970C35">
        <w:rPr>
          <w:rFonts w:ascii="Times New Roman" w:hAnsi="Times New Roman" w:cs="Times New Roman"/>
        </w:rPr>
        <w:fldChar w:fldCharType="end"/>
      </w:r>
      <w:r w:rsidR="002A2FA8" w:rsidRPr="00970C35">
        <w:rPr>
          <w:rFonts w:ascii="Times New Roman" w:hAnsi="Times New Roman" w:cs="Times New Roman"/>
        </w:rPr>
        <w:t xml:space="preserve">, </w:t>
      </w:r>
      <w:r w:rsidRPr="00970C35">
        <w:rPr>
          <w:rFonts w:ascii="Times New Roman" w:hAnsi="Times New Roman" w:cs="Times New Roman"/>
        </w:rPr>
        <w:t xml:space="preserve">because an affirmative answer would alleviate the concern that the empirical pattern documented in the earlier </w:t>
      </w:r>
      <w:r w:rsidR="007C0C1C" w:rsidRPr="00970C35">
        <w:rPr>
          <w:rFonts w:ascii="Times New Roman" w:hAnsi="Times New Roman" w:cs="Times New Roman"/>
        </w:rPr>
        <w:t>studies</w:t>
      </w:r>
      <w:r w:rsidRPr="00970C35">
        <w:rPr>
          <w:rFonts w:ascii="Times New Roman" w:hAnsi="Times New Roman" w:cs="Times New Roman"/>
        </w:rPr>
        <w:t xml:space="preserve"> is due to </w:t>
      </w:r>
      <w:r w:rsidR="002A2FA8" w:rsidRPr="00970C35">
        <w:rPr>
          <w:rFonts w:ascii="Times New Roman" w:hAnsi="Times New Roman" w:cs="Times New Roman"/>
        </w:rPr>
        <w:t>a single country phenomenon or even coincidence</w:t>
      </w:r>
      <w:r w:rsidRPr="00970C35">
        <w:rPr>
          <w:rFonts w:ascii="Times New Roman" w:hAnsi="Times New Roman" w:cs="Times New Roman"/>
        </w:rPr>
        <w:t>. Specifically, we look at firm</w:t>
      </w:r>
      <w:r w:rsidR="007C0C1C" w:rsidRPr="00970C35">
        <w:rPr>
          <w:rFonts w:ascii="Times New Roman" w:hAnsi="Times New Roman" w:cs="Times New Roman"/>
        </w:rPr>
        <w:t>s</w:t>
      </w:r>
      <w:r w:rsidRPr="00970C35">
        <w:rPr>
          <w:rFonts w:ascii="Times New Roman" w:hAnsi="Times New Roman" w:cs="Times New Roman"/>
        </w:rPr>
        <w:t xml:space="preserve">’ annual </w:t>
      </w:r>
      <w:r w:rsidR="002B0C4D" w:rsidRPr="00970C35">
        <w:rPr>
          <w:rFonts w:ascii="Times New Roman" w:hAnsi="Times New Roman" w:cs="Times New Roman"/>
        </w:rPr>
        <w:t>FCF</w:t>
      </w:r>
      <w:r w:rsidRPr="00970C35">
        <w:rPr>
          <w:rFonts w:ascii="Times New Roman" w:hAnsi="Times New Roman" w:cs="Times New Roman"/>
        </w:rPr>
        <w:t xml:space="preserve"> and firm size to measure </w:t>
      </w:r>
      <w:r w:rsidR="00321E85" w:rsidRPr="00970C35">
        <w:rPr>
          <w:rFonts w:ascii="Times New Roman" w:hAnsi="Times New Roman" w:cs="Times New Roman"/>
        </w:rPr>
        <w:t xml:space="preserve">firm-level </w:t>
      </w:r>
      <w:r w:rsidRPr="00970C35">
        <w:rPr>
          <w:rFonts w:ascii="Times New Roman" w:hAnsi="Times New Roman" w:cs="Times New Roman"/>
        </w:rPr>
        <w:t xml:space="preserve">agency problems and asymmetric information. As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"10.2139/ssrn.99580", "ISBN" : "00028282", "ISSN" : "15565068", "PMID" : "4496829", "abstract" : "Corporate managers are the agents of shareholders, a relationship fraught with conflicting interests. Agency theory, the analysis of such conflicts, is now a major part of the economics literature. The payout of cash to shareholders creates major conflicts that have received little attention. Payouts to shareholders reduce the resources under managers' control, thereby reducing managers' power, and making it more likely they will incur the monitoring of the capital markets which occurs when the firm must obtain new capital. Financing projects internally avoids this monitoring and the possibility the funds will be unavailable or available only at high explicit prices. Managers have incentives to cause theft firms to grow beyond the optimal size. Growth increases managers' power by increasing the resources under their control. It is also associated with increases in managers' compensation, because changes in compensation are positively related to the growth in sales. The tendency of firms to reward middle managers through promotion rather than year-to-year bonuses also creates a strong organizational bias toward growth to supply the new positions that such promotion-based reward systems require. Competition in the product and factor markets tends to drive prices towards minimum average cost in an activity.", "author" : [ { "dropping-particle" : "", "family" : "Jensen", "given" : "Michael C", "non-dropping-particle" : "", "parse-names" : false, "suffix" : "" } ], "container-title" : "The American Economic Review", "id" : "ITEM-1", "issue" : "2", "issued" : { "date-parts" : [ [ "1986" ] ] }, "page" : "323-329", "title" : "Agency costs of free cash flow, corporate finance, and takeovers", "type" : "article-journal", "volume" : "76" }, "uris" : [ "http://www.mendeley.com/documents/?uuid=5f71d280-24c5-4876-8626-c1c426b460f9" ] } ], "mendeley" : { "formattedCitation" : "Jensen (1986)", "plainTextFormattedCitation" : "Jensen (1986)", "previouslyFormattedCitation" : "Jensen (1986)"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Jensen (1986)</w:t>
      </w:r>
      <w:r w:rsidRPr="00970C35">
        <w:rPr>
          <w:rFonts w:ascii="Times New Roman" w:hAnsi="Times New Roman" w:cs="Times New Roman"/>
        </w:rPr>
        <w:fldChar w:fldCharType="end"/>
      </w:r>
      <w:r w:rsidRPr="00970C35">
        <w:rPr>
          <w:rFonts w:ascii="Times New Roman" w:hAnsi="Times New Roman" w:cs="Times New Roman"/>
        </w:rPr>
        <w:t xml:space="preserve"> points out, “Conflicts of interest between shareholders and managers over payout policies are especially severe when the organization generates substantial free cash flow.” In other words, excess cash tends to reduce the pressures on management to enhance shareholder value. Therefore, FCF is often used to measure firms’ agency problems in </w:t>
      </w:r>
      <w:r w:rsidR="007C0C1C" w:rsidRPr="00970C35">
        <w:rPr>
          <w:rFonts w:ascii="Times New Roman" w:hAnsi="Times New Roman" w:cs="Times New Roman"/>
        </w:rPr>
        <w:t xml:space="preserve">the </w:t>
      </w:r>
      <w:r w:rsidRPr="00970C35">
        <w:rPr>
          <w:rFonts w:ascii="Times New Roman" w:hAnsi="Times New Roman" w:cs="Times New Roman"/>
        </w:rPr>
        <w:t>finance literature</w:t>
      </w:r>
      <w:r w:rsidRPr="00970C35">
        <w:rPr>
          <w:rFonts w:ascii="Times New Roman" w:hAnsi="Times New Roman" w:cs="Times New Roman"/>
          <w:szCs w:val="16"/>
        </w:rPr>
        <w:t xml:space="preserve">. Also, other things equal, larger firms tend to have more </w:t>
      </w:r>
      <w:r w:rsidR="00321E85" w:rsidRPr="00970C35">
        <w:rPr>
          <w:rFonts w:ascii="Times New Roman" w:hAnsi="Times New Roman" w:cs="Times New Roman"/>
          <w:szCs w:val="16"/>
        </w:rPr>
        <w:t>information asymmetry</w:t>
      </w:r>
      <w:r w:rsidRPr="00970C35">
        <w:rPr>
          <w:rFonts w:ascii="Times New Roman" w:hAnsi="Times New Roman" w:cs="Times New Roman"/>
          <w:szCs w:val="16"/>
        </w:rPr>
        <w:t xml:space="preserve"> due to more </w:t>
      </w:r>
      <w:r w:rsidR="007C0C1C" w:rsidRPr="00970C35">
        <w:rPr>
          <w:rFonts w:ascii="Times New Roman" w:hAnsi="Times New Roman" w:cs="Times New Roman"/>
          <w:szCs w:val="16"/>
        </w:rPr>
        <w:t xml:space="preserve">a </w:t>
      </w:r>
      <w:r w:rsidRPr="00970C35">
        <w:rPr>
          <w:rFonts w:ascii="Times New Roman" w:hAnsi="Times New Roman" w:cs="Times New Roman"/>
          <w:szCs w:val="16"/>
        </w:rPr>
        <w:t xml:space="preserve">complex organizational structure and larger costs of information transmission. For example, </w:t>
      </w:r>
      <w:r w:rsidRPr="00970C35">
        <w:rPr>
          <w:rFonts w:ascii="Times New Roman" w:hAnsi="Times New Roman" w:cs="Times New Roman"/>
          <w:szCs w:val="16"/>
        </w:rPr>
        <w:fldChar w:fldCharType="begin" w:fldLock="1"/>
      </w:r>
      <w:r w:rsidR="00E57761">
        <w:rPr>
          <w:rFonts w:ascii="Times New Roman" w:hAnsi="Times New Roman" w:cs="Times New Roman"/>
          <w:szCs w:val="16"/>
        </w:rPr>
        <w:instrText>ADDIN CSL_CITATION { "citationItems" : [ { "id" : "ITEM-1", "itemData" : { "DOI" : "10.1162/qjec.2008.123.1.49", "ISBN" : "00335533", "ISSN" : "0033-5533", "PMID" : "791", "abstract" : "This paper develops a simple equilibrium model of CEO pay. CEOs have\\ndifferent talents and are matched to firms in a competitive assignment\\nmodel. In market equilibrium, a CEO's pay depends on both the size\\nof his firm and the aggregate firm size. The model determines the\\nlevel of CEO pay across firms and over time, offering a benchmark\\nfor calibratable corporate finance. We find a very small dispersion\\nin CEO talent, which nonetheless justifies large pay differences.\\nIn recent decades at least, the size of large firms explains many\\nof the patterns in CEO pay, across firms, over time, and between\\ncountries. In particular, in the baseline specification of the model's\\nparameters, the sixfold increase of U.S. CEO pay between 1980 and\\n2003 can be fully attributed to the sixfold increase in market capitalization\\nof large companies during that period.", "author" : [ { "dropping-particle" : "", "family" : "Gabaix", "given" : "X", "non-dropping-particle" : "", "parse-names" : false, "suffix" : "" }, { "dropping-particle" : "", "family" : "Landier", "given" : "A", "non-dropping-particle" : "", "parse-names" : false, "suffix" : "" } ], "container-title" : "Quarterly Journal of Economics", "id" : "ITEM-1", "issue" : "February", "issued" : { "date-parts" : [ [ "2008" ] ] }, "page" : "49-100", "title" : "Why Has CEO Pay Increased So Much?", "type" : "article-journal", "volume" : "123" }, "uris" : [ "http://www.mendeley.com/documents/?uuid=5bba03ff-41ed-4bff-96f1-be18342b3e33" ] } ], "mendeley" : { "formattedCitation" : "Gabaix and Landier (2008)", "plainTextFormattedCitation" : "Gabaix and Landier (2008)", "previouslyFormattedCitation" : "Gabaix and Landier (2008)" }, "properties" : { "noteIndex" : 0 }, "schema" : "https://github.com/citation-style-language/schema/raw/master/csl-citation.json" }</w:instrText>
      </w:r>
      <w:r w:rsidRPr="00970C35">
        <w:rPr>
          <w:rFonts w:ascii="Times New Roman" w:hAnsi="Times New Roman" w:cs="Times New Roman"/>
          <w:szCs w:val="16"/>
        </w:rPr>
        <w:fldChar w:fldCharType="separate"/>
      </w:r>
      <w:r w:rsidR="00C462AD" w:rsidRPr="00970C35">
        <w:rPr>
          <w:rFonts w:ascii="Times New Roman" w:hAnsi="Times New Roman" w:cs="Times New Roman"/>
          <w:noProof/>
          <w:szCs w:val="16"/>
        </w:rPr>
        <w:t>Gabaix and Landier (2008)</w:t>
      </w:r>
      <w:r w:rsidRPr="00970C35">
        <w:rPr>
          <w:rFonts w:ascii="Times New Roman" w:hAnsi="Times New Roman" w:cs="Times New Roman"/>
          <w:szCs w:val="16"/>
        </w:rPr>
        <w:fldChar w:fldCharType="end"/>
      </w:r>
      <w:r w:rsidRPr="00970C35">
        <w:rPr>
          <w:rFonts w:ascii="Times New Roman" w:hAnsi="Times New Roman" w:cs="Times New Roman"/>
          <w:szCs w:val="16"/>
        </w:rPr>
        <w:t xml:space="preserve"> find that CEO compensation is closely related with firm size, implying that bigger firms are harder to manage and therefore requires more CEO ability. </w:t>
      </w:r>
      <w:r w:rsidR="00321E85" w:rsidRPr="00970C35">
        <w:rPr>
          <w:rFonts w:ascii="Times New Roman" w:hAnsi="Times New Roman" w:cs="Times New Roman"/>
          <w:szCs w:val="16"/>
        </w:rPr>
        <w:t>Also, larger</w:t>
      </w:r>
      <w:r w:rsidRPr="00970C35">
        <w:rPr>
          <w:rFonts w:ascii="Times New Roman" w:hAnsi="Times New Roman" w:cs="Times New Roman"/>
          <w:szCs w:val="16"/>
        </w:rPr>
        <w:t xml:space="preserve"> size </w:t>
      </w:r>
      <w:r w:rsidR="007E39B5" w:rsidRPr="00970C35">
        <w:rPr>
          <w:rFonts w:ascii="Times New Roman" w:hAnsi="Times New Roman" w:cs="Times New Roman"/>
          <w:szCs w:val="16"/>
        </w:rPr>
        <w:t>is typically associated with</w:t>
      </w:r>
      <w:r w:rsidR="00321E85" w:rsidRPr="00970C35">
        <w:rPr>
          <w:rFonts w:ascii="Times New Roman" w:hAnsi="Times New Roman" w:cs="Times New Roman"/>
          <w:szCs w:val="16"/>
        </w:rPr>
        <w:t xml:space="preserve"> higher</w:t>
      </w:r>
      <w:r w:rsidRPr="00970C35">
        <w:rPr>
          <w:rFonts w:ascii="Times New Roman" w:hAnsi="Times New Roman" w:cs="Times New Roman"/>
          <w:szCs w:val="16"/>
        </w:rPr>
        <w:t xml:space="preserve"> level</w:t>
      </w:r>
      <w:r w:rsidR="007C0C1C" w:rsidRPr="00970C35">
        <w:rPr>
          <w:rFonts w:ascii="Times New Roman" w:hAnsi="Times New Roman" w:cs="Times New Roman"/>
          <w:szCs w:val="16"/>
        </w:rPr>
        <w:t>s</w:t>
      </w:r>
      <w:r w:rsidRPr="00970C35">
        <w:rPr>
          <w:rFonts w:ascii="Times New Roman" w:hAnsi="Times New Roman" w:cs="Times New Roman"/>
          <w:szCs w:val="16"/>
        </w:rPr>
        <w:t xml:space="preserve"> of diversification</w:t>
      </w:r>
      <w:r w:rsidR="00321E85" w:rsidRPr="00970C35">
        <w:rPr>
          <w:rFonts w:ascii="Times New Roman" w:hAnsi="Times New Roman" w:cs="Times New Roman"/>
          <w:szCs w:val="16"/>
        </w:rPr>
        <w:t xml:space="preserve">, which exacerbates the asymmetric information problem between headquarters and </w:t>
      </w:r>
      <w:r w:rsidR="007C0C1C" w:rsidRPr="00970C35">
        <w:rPr>
          <w:rFonts w:ascii="Times New Roman" w:hAnsi="Times New Roman" w:cs="Times New Roman"/>
          <w:szCs w:val="16"/>
        </w:rPr>
        <w:t xml:space="preserve">its </w:t>
      </w:r>
      <w:r w:rsidR="00321E85" w:rsidRPr="00970C35">
        <w:rPr>
          <w:rFonts w:ascii="Times New Roman" w:hAnsi="Times New Roman" w:cs="Times New Roman"/>
          <w:szCs w:val="16"/>
        </w:rPr>
        <w:t>divisions</w:t>
      </w:r>
      <w:r w:rsidRPr="00970C35">
        <w:rPr>
          <w:rFonts w:ascii="Times New Roman" w:hAnsi="Times New Roman" w:cs="Times New Roman"/>
          <w:szCs w:val="16"/>
        </w:rPr>
        <w:t xml:space="preserve">. </w:t>
      </w:r>
    </w:p>
    <w:p w:rsidR="00821BD4" w:rsidRPr="00970C35" w:rsidRDefault="00821BD4" w:rsidP="00821BD4">
      <w:pPr>
        <w:spacing w:after="0" w:line="480" w:lineRule="auto"/>
        <w:ind w:firstLine="288"/>
        <w:jc w:val="both"/>
        <w:rPr>
          <w:rFonts w:ascii="Times New Roman" w:hAnsi="Times New Roman" w:cs="Times New Roman"/>
        </w:rPr>
      </w:pPr>
      <w:r w:rsidRPr="00970C35">
        <w:rPr>
          <w:rFonts w:ascii="Times New Roman" w:hAnsi="Times New Roman" w:cs="Times New Roman"/>
        </w:rPr>
        <w:lastRenderedPageBreak/>
        <w:t>Since the results are very similar, we only present our results using total assets and number of employees</w:t>
      </w:r>
      <w:r w:rsidRPr="00970C35">
        <w:rPr>
          <w:rStyle w:val="ac"/>
          <w:rFonts w:ascii="Times New Roman" w:hAnsi="Times New Roman" w:cs="Times New Roman"/>
        </w:rPr>
        <w:footnoteReference w:id="10"/>
      </w:r>
      <w:r w:rsidRPr="00970C35">
        <w:rPr>
          <w:rFonts w:ascii="Times New Roman" w:hAnsi="Times New Roman" w:cs="Times New Roman"/>
        </w:rPr>
        <w:t xml:space="preserve"> in Table 4. To mitigate the endogeneity concerns, we use FCF and firm size from the previous year. We divide our sample firms into quintiles using each of the above</w:t>
      </w:r>
      <w:r w:rsidR="007C0C1C" w:rsidRPr="00970C35">
        <w:rPr>
          <w:rFonts w:ascii="Times New Roman" w:hAnsi="Times New Roman" w:cs="Times New Roman"/>
        </w:rPr>
        <w:t>-</w:t>
      </w:r>
      <w:r w:rsidRPr="00970C35">
        <w:rPr>
          <w:rFonts w:ascii="Times New Roman" w:hAnsi="Times New Roman" w:cs="Times New Roman"/>
        </w:rPr>
        <w:t>mentioned variables and produce ranking dummies.</w:t>
      </w:r>
    </w:p>
    <w:p w:rsidR="00821BD4" w:rsidRPr="00970C35" w:rsidRDefault="00821BD4" w:rsidP="00C42DB2">
      <w:pPr>
        <w:spacing w:after="0" w:line="480" w:lineRule="auto"/>
        <w:ind w:firstLine="288"/>
        <w:jc w:val="both"/>
        <w:rPr>
          <w:rFonts w:ascii="Times New Roman" w:hAnsi="Times New Roman" w:cs="Times New Roman"/>
        </w:rPr>
      </w:pPr>
      <w:r w:rsidRPr="00970C35">
        <w:rPr>
          <w:rFonts w:ascii="Times New Roman" w:hAnsi="Times New Roman" w:cs="Times New Roman"/>
        </w:rPr>
        <w:t>Table 4 Panel A presents the results of regressions of capital expenditure</w:t>
      </w:r>
      <w:r w:rsidR="00BC7206" w:rsidRPr="00970C35">
        <w:rPr>
          <w:rFonts w:ascii="Times New Roman" w:eastAsia="맑은 고딕" w:hAnsi="Times New Roman" w:cs="Times New Roman"/>
          <w:lang w:eastAsia="ko-KR"/>
        </w:rPr>
        <w:t>s</w:t>
      </w:r>
      <w:r w:rsidRPr="00970C35">
        <w:rPr>
          <w:rFonts w:ascii="Times New Roman" w:hAnsi="Times New Roman" w:cs="Times New Roman"/>
        </w:rPr>
        <w:t xml:space="preserve"> on the firm-level variables such as FCF and size and their interactions with fiscal-fourth-quarter dummy, controlling for firm fixed effects</w:t>
      </w:r>
      <w:r w:rsidR="00EB288A" w:rsidRPr="00970C35">
        <w:rPr>
          <w:rFonts w:ascii="Times New Roman" w:hAnsi="Times New Roman" w:cs="Times New Roman"/>
        </w:rPr>
        <w:t>, time-varying industry investment opportunities,</w:t>
      </w:r>
      <w:r w:rsidRPr="00970C35">
        <w:rPr>
          <w:rFonts w:ascii="Times New Roman" w:hAnsi="Times New Roman" w:cs="Times New Roman"/>
        </w:rPr>
        <w:t xml:space="preserve"> and other firm-level observable measures that can affect capital expenditure</w:t>
      </w:r>
      <w:r w:rsidR="00BC7206" w:rsidRPr="00970C35">
        <w:rPr>
          <w:rFonts w:ascii="Times New Roman" w:eastAsia="맑은 고딕" w:hAnsi="Times New Roman" w:cs="Times New Roman"/>
          <w:lang w:eastAsia="ko-KR"/>
        </w:rPr>
        <w:t>s</w:t>
      </w:r>
      <w:r w:rsidRPr="00970C35">
        <w:rPr>
          <w:rFonts w:ascii="Times New Roman" w:hAnsi="Times New Roman" w:cs="Times New Roman"/>
        </w:rPr>
        <w:t xml:space="preserve">. Standard errors are clustered at </w:t>
      </w:r>
      <w:r w:rsidR="007C0C1C" w:rsidRPr="00970C35">
        <w:rPr>
          <w:rFonts w:ascii="Times New Roman" w:hAnsi="Times New Roman" w:cs="Times New Roman"/>
        </w:rPr>
        <w:t xml:space="preserve">the </w:t>
      </w:r>
      <w:r w:rsidRPr="00970C35">
        <w:rPr>
          <w:rFonts w:ascii="Times New Roman" w:hAnsi="Times New Roman" w:cs="Times New Roman"/>
        </w:rPr>
        <w:t>country level. In Columns 1 through 4, we define capital expenditure as quarterly capital expenditures over total assets, and in Columns 5 through 8, we define capital expenditure</w:t>
      </w:r>
      <w:r w:rsidR="00F52739" w:rsidRPr="00970C35">
        <w:rPr>
          <w:rFonts w:ascii="Times New Roman" w:hAnsi="Times New Roman" w:cs="Times New Roman"/>
        </w:rPr>
        <w:t>s</w:t>
      </w:r>
      <w:r w:rsidRPr="00970C35">
        <w:rPr>
          <w:rFonts w:ascii="Times New Roman" w:hAnsi="Times New Roman" w:cs="Times New Roman"/>
        </w:rPr>
        <w:t xml:space="preserve"> as quarterly capital expenditures over property, plant, </w:t>
      </w:r>
      <w:r w:rsidR="007C0C1C" w:rsidRPr="00970C35">
        <w:rPr>
          <w:rFonts w:ascii="Times New Roman" w:hAnsi="Times New Roman" w:cs="Times New Roman"/>
        </w:rPr>
        <w:t>and</w:t>
      </w:r>
      <w:r w:rsidRPr="00970C35">
        <w:rPr>
          <w:rFonts w:ascii="Times New Roman" w:hAnsi="Times New Roman" w:cs="Times New Roman"/>
        </w:rPr>
        <w:t xml:space="preserve"> equipment. In Column 1, we can observe that coefficient on the fourth quarter dummy is positive and statistically significant. The coefficient of </w:t>
      </w:r>
      <w:r w:rsidR="002D0C41" w:rsidRPr="00970C35">
        <w:rPr>
          <w:rFonts w:ascii="Times New Roman" w:hAnsi="Times New Roman" w:cs="Times New Roman"/>
        </w:rPr>
        <w:t>Q</w:t>
      </w:r>
      <w:r w:rsidR="007D47AF" w:rsidRPr="00970C35">
        <w:rPr>
          <w:rFonts w:ascii="Times New Roman" w:hAnsi="Times New Roman" w:cs="Times New Roman"/>
        </w:rPr>
        <w:t>4</w:t>
      </w:r>
      <w:r w:rsidR="002D0C41" w:rsidRPr="00970C35">
        <w:rPr>
          <w:rFonts w:ascii="Times New Roman" w:hAnsi="Times New Roman" w:cs="Times New Roman"/>
        </w:rPr>
        <w:t xml:space="preserve"> Dummy</w:t>
      </w:r>
      <w:r w:rsidRPr="00970C35">
        <w:rPr>
          <w:rFonts w:ascii="Times New Roman" w:hAnsi="Times New Roman" w:cs="Times New Roman"/>
        </w:rPr>
        <w:t xml:space="preserve"> is about 0.</w:t>
      </w:r>
      <w:r w:rsidR="00A908EF" w:rsidRPr="00970C35">
        <w:rPr>
          <w:rFonts w:ascii="Times New Roman" w:hAnsi="Times New Roman" w:cs="Times New Roman"/>
        </w:rPr>
        <w:t>15</w:t>
      </w:r>
      <w:r w:rsidRPr="00970C35">
        <w:rPr>
          <w:rFonts w:ascii="Times New Roman" w:hAnsi="Times New Roman" w:cs="Times New Roman"/>
        </w:rPr>
        <w:t>, indicating that capital expenditure is on average higher in the fourth quarter by 0.</w:t>
      </w:r>
      <w:r w:rsidR="00A908EF" w:rsidRPr="00970C35">
        <w:rPr>
          <w:rFonts w:ascii="Times New Roman" w:hAnsi="Times New Roman" w:cs="Times New Roman"/>
        </w:rPr>
        <w:t>15</w:t>
      </w:r>
      <w:r w:rsidRPr="00970C35">
        <w:rPr>
          <w:rFonts w:ascii="Times New Roman" w:hAnsi="Times New Roman" w:cs="Times New Roman"/>
        </w:rPr>
        <w:t>% of total assets. Given that the mean (median) of CapEx is 1.30 (0.78), this increase represents</w:t>
      </w:r>
      <w:r w:rsidR="007C0C1C" w:rsidRPr="00970C35">
        <w:rPr>
          <w:rFonts w:ascii="Times New Roman" w:hAnsi="Times New Roman" w:cs="Times New Roman"/>
        </w:rPr>
        <w:t xml:space="preserve"> an</w:t>
      </w:r>
      <w:r w:rsidRPr="00970C35">
        <w:rPr>
          <w:rFonts w:ascii="Times New Roman" w:hAnsi="Times New Roman" w:cs="Times New Roman"/>
        </w:rPr>
        <w:t xml:space="preserve"> </w:t>
      </w:r>
      <w:r w:rsidR="00A908EF" w:rsidRPr="00970C35">
        <w:rPr>
          <w:rFonts w:ascii="Times New Roman" w:hAnsi="Times New Roman" w:cs="Times New Roman"/>
        </w:rPr>
        <w:t>11.5</w:t>
      </w:r>
      <w:r w:rsidRPr="00970C35">
        <w:rPr>
          <w:rFonts w:ascii="Times New Roman" w:hAnsi="Times New Roman" w:cs="Times New Roman"/>
        </w:rPr>
        <w:t>% (1</w:t>
      </w:r>
      <w:r w:rsidR="00A908EF" w:rsidRPr="00970C35">
        <w:rPr>
          <w:rFonts w:ascii="Times New Roman" w:hAnsi="Times New Roman" w:cs="Times New Roman"/>
        </w:rPr>
        <w:t>9</w:t>
      </w:r>
      <w:r w:rsidR="007C0C1C" w:rsidRPr="00970C35">
        <w:rPr>
          <w:rFonts w:ascii="Times New Roman" w:hAnsi="Times New Roman" w:cs="Times New Roman"/>
        </w:rPr>
        <w:t>%) jump in</w:t>
      </w:r>
      <w:r w:rsidRPr="00970C35">
        <w:rPr>
          <w:rFonts w:ascii="Times New Roman" w:hAnsi="Times New Roman" w:cs="Times New Roman"/>
        </w:rPr>
        <w:t xml:space="preserve"> spending </w:t>
      </w:r>
      <w:r w:rsidR="007C0C1C" w:rsidRPr="00970C35">
        <w:rPr>
          <w:rFonts w:ascii="Times New Roman" w:hAnsi="Times New Roman" w:cs="Times New Roman"/>
        </w:rPr>
        <w:t>dur</w:t>
      </w:r>
      <w:r w:rsidRPr="00970C35">
        <w:rPr>
          <w:rFonts w:ascii="Times New Roman" w:hAnsi="Times New Roman" w:cs="Times New Roman"/>
        </w:rPr>
        <w:t>in</w:t>
      </w:r>
      <w:r w:rsidR="007C0C1C" w:rsidRPr="00970C35">
        <w:rPr>
          <w:rFonts w:ascii="Times New Roman" w:hAnsi="Times New Roman" w:cs="Times New Roman"/>
        </w:rPr>
        <w:t>g</w:t>
      </w:r>
      <w:r w:rsidRPr="00970C35">
        <w:rPr>
          <w:rFonts w:ascii="Times New Roman" w:hAnsi="Times New Roman" w:cs="Times New Roman"/>
        </w:rPr>
        <w:t xml:space="preserve"> the fourth quarter relative to the other three quarters. In Columns 2 through 4, the interaction terms of </w:t>
      </w:r>
      <w:r w:rsidR="007C0C1C" w:rsidRPr="00970C35">
        <w:rPr>
          <w:rFonts w:ascii="Times New Roman" w:hAnsi="Times New Roman" w:cs="Times New Roman"/>
        </w:rPr>
        <w:t>FCF and SIZE</w:t>
      </w:r>
      <w:r w:rsidRPr="00970C35">
        <w:rPr>
          <w:rFonts w:ascii="Times New Roman" w:hAnsi="Times New Roman" w:cs="Times New Roman"/>
        </w:rPr>
        <w:t xml:space="preserve"> </w:t>
      </w:r>
      <w:r w:rsidR="007C0C1C" w:rsidRPr="00970C35">
        <w:rPr>
          <w:rFonts w:ascii="Times New Roman" w:hAnsi="Times New Roman" w:cs="Times New Roman"/>
        </w:rPr>
        <w:t>rankings with</w:t>
      </w:r>
      <w:r w:rsidRPr="00970C35">
        <w:rPr>
          <w:rFonts w:ascii="Times New Roman" w:hAnsi="Times New Roman" w:cs="Times New Roman"/>
        </w:rPr>
        <w:t xml:space="preserve"> fourth quarter dummy are all positive and statistically significant, implying that </w:t>
      </w:r>
      <w:r w:rsidRPr="00970C35">
        <w:rPr>
          <w:rFonts w:ascii="Times New Roman" w:hAnsi="Times New Roman" w:cs="Times New Roman"/>
          <w:i/>
        </w:rPr>
        <w:t>ceteris paribus</w:t>
      </w:r>
      <w:r w:rsidRPr="00970C35">
        <w:rPr>
          <w:rFonts w:ascii="Times New Roman" w:hAnsi="Times New Roman" w:cs="Times New Roman"/>
        </w:rPr>
        <w:t xml:space="preserve">, firms with higher </w:t>
      </w:r>
      <w:r w:rsidR="007C0C1C" w:rsidRPr="00970C35">
        <w:rPr>
          <w:rFonts w:ascii="Times New Roman" w:hAnsi="Times New Roman" w:cs="Times New Roman"/>
        </w:rPr>
        <w:t>agency problems and asymmetric information</w:t>
      </w:r>
      <w:r w:rsidRPr="00970C35">
        <w:rPr>
          <w:rFonts w:ascii="Times New Roman" w:hAnsi="Times New Roman" w:cs="Times New Roman"/>
        </w:rPr>
        <w:t xml:space="preserve"> spend relatively more in the fourth quarter. In terms of economic significance, the results in Column 2 suggest that even for firms in the lowest FCF quintile, on average</w:t>
      </w:r>
      <w:r w:rsidR="007C0C1C" w:rsidRPr="00970C35">
        <w:rPr>
          <w:rFonts w:ascii="Times New Roman" w:hAnsi="Times New Roman" w:cs="Times New Roman"/>
        </w:rPr>
        <w:t>, they</w:t>
      </w:r>
      <w:r w:rsidRPr="00970C35">
        <w:rPr>
          <w:rFonts w:ascii="Times New Roman" w:hAnsi="Times New Roman" w:cs="Times New Roman"/>
        </w:rPr>
        <w:t xml:space="preserve"> spend </w:t>
      </w:r>
      <w:r w:rsidR="00703766" w:rsidRPr="00970C35">
        <w:rPr>
          <w:rFonts w:ascii="Times New Roman" w:hAnsi="Times New Roman" w:cs="Times New Roman"/>
        </w:rPr>
        <w:t>14</w:t>
      </w:r>
      <w:r w:rsidRPr="00970C35">
        <w:rPr>
          <w:rFonts w:ascii="Times New Roman" w:hAnsi="Times New Roman" w:cs="Times New Roman"/>
        </w:rPr>
        <w:t>.6% (0.</w:t>
      </w:r>
      <w:r w:rsidR="00703766" w:rsidRPr="00970C35">
        <w:rPr>
          <w:rFonts w:ascii="Times New Roman" w:hAnsi="Times New Roman" w:cs="Times New Roman"/>
        </w:rPr>
        <w:t>114</w:t>
      </w:r>
      <w:r w:rsidRPr="00970C35">
        <w:rPr>
          <w:rFonts w:ascii="Times New Roman" w:hAnsi="Times New Roman" w:cs="Times New Roman"/>
        </w:rPr>
        <w:t xml:space="preserve">/0.78) higher than the CapEx median, and when FCF increases by each quintile rank, the “overspending” increases on average by </w:t>
      </w:r>
      <w:r w:rsidR="007C0C1C" w:rsidRPr="00970C35">
        <w:rPr>
          <w:rFonts w:ascii="Times New Roman" w:hAnsi="Times New Roman" w:cs="Times New Roman"/>
        </w:rPr>
        <w:t>another</w:t>
      </w:r>
      <w:r w:rsidRPr="00970C35">
        <w:rPr>
          <w:rFonts w:ascii="Times New Roman" w:hAnsi="Times New Roman" w:cs="Times New Roman"/>
        </w:rPr>
        <w:t xml:space="preserve"> three percentage points</w:t>
      </w:r>
      <w:r w:rsidR="00703766" w:rsidRPr="00970C35">
        <w:rPr>
          <w:rFonts w:ascii="Times New Roman" w:hAnsi="Times New Roman" w:cs="Times New Roman"/>
        </w:rPr>
        <w:t xml:space="preserve"> (0.0208/0.78)</w:t>
      </w:r>
      <w:r w:rsidRPr="00970C35">
        <w:rPr>
          <w:rFonts w:ascii="Times New Roman" w:hAnsi="Times New Roman" w:cs="Times New Roman"/>
        </w:rPr>
        <w:t>. In Column 3</w:t>
      </w:r>
      <w:r w:rsidR="00703766" w:rsidRPr="00970C35">
        <w:rPr>
          <w:rFonts w:ascii="Times New Roman" w:hAnsi="Times New Roman" w:cs="Times New Roman"/>
        </w:rPr>
        <w:t xml:space="preserve"> and 4</w:t>
      </w:r>
      <w:r w:rsidRPr="00970C35">
        <w:rPr>
          <w:rFonts w:ascii="Times New Roman" w:hAnsi="Times New Roman" w:cs="Times New Roman"/>
        </w:rPr>
        <w:t>, we observe similar patterns</w:t>
      </w:r>
      <w:r w:rsidR="00703766" w:rsidRPr="00970C35">
        <w:rPr>
          <w:rFonts w:ascii="Times New Roman" w:hAnsi="Times New Roman" w:cs="Times New Roman"/>
        </w:rPr>
        <w:t xml:space="preserve">: CapEx is higher in </w:t>
      </w:r>
      <w:r w:rsidR="007C0C1C" w:rsidRPr="00970C35">
        <w:rPr>
          <w:rFonts w:ascii="Times New Roman" w:hAnsi="Times New Roman" w:cs="Times New Roman"/>
        </w:rPr>
        <w:t xml:space="preserve">the </w:t>
      </w:r>
      <w:r w:rsidR="00703766" w:rsidRPr="00970C35">
        <w:rPr>
          <w:rFonts w:ascii="Times New Roman" w:hAnsi="Times New Roman" w:cs="Times New Roman"/>
        </w:rPr>
        <w:t>fourth fiscal quarter in the smallest quintile, and the fourth-quarter effect is stronger in larger quintiles.</w:t>
      </w:r>
      <w:r w:rsidRPr="00970C35">
        <w:rPr>
          <w:rFonts w:ascii="Times New Roman" w:hAnsi="Times New Roman" w:cs="Times New Roman"/>
        </w:rPr>
        <w:t xml:space="preserve"> Columns 5 through 8 essentially repeat the results in Columns 1 to 4. Finally, the interaction of implicit tax rate and fourth quarter dummy is positive and </w:t>
      </w:r>
      <w:r w:rsidRPr="00970C35">
        <w:rPr>
          <w:rFonts w:ascii="Times New Roman" w:hAnsi="Times New Roman" w:cs="Times New Roman"/>
        </w:rPr>
        <w:lastRenderedPageBreak/>
        <w:t xml:space="preserve">statistically significant at least </w:t>
      </w:r>
      <w:r w:rsidR="00703766" w:rsidRPr="00970C35">
        <w:rPr>
          <w:rFonts w:ascii="Times New Roman" w:hAnsi="Times New Roman" w:cs="Times New Roman"/>
        </w:rPr>
        <w:t>5</w:t>
      </w:r>
      <w:r w:rsidRPr="00970C35">
        <w:rPr>
          <w:rFonts w:ascii="Times New Roman" w:hAnsi="Times New Roman" w:cs="Times New Roman"/>
        </w:rPr>
        <w:t>% significance level</w:t>
      </w:r>
      <w:r w:rsidR="00703766" w:rsidRPr="00970C35">
        <w:rPr>
          <w:rFonts w:ascii="Times New Roman" w:hAnsi="Times New Roman" w:cs="Times New Roman"/>
        </w:rPr>
        <w:t xml:space="preserve"> except for Column 4</w:t>
      </w:r>
      <w:r w:rsidR="007C0C1C" w:rsidRPr="00970C35">
        <w:rPr>
          <w:rFonts w:ascii="Times New Roman" w:hAnsi="Times New Roman" w:cs="Times New Roman"/>
        </w:rPr>
        <w:t>;</w:t>
      </w:r>
      <w:r w:rsidRPr="00970C35">
        <w:rPr>
          <w:rFonts w:ascii="Times New Roman" w:hAnsi="Times New Roman" w:cs="Times New Roman"/>
        </w:rPr>
        <w:t xml:space="preserve"> the discussion on </w:t>
      </w:r>
      <w:r w:rsidR="00F52739" w:rsidRPr="00970C35">
        <w:rPr>
          <w:rFonts w:ascii="Times New Roman" w:hAnsi="Times New Roman" w:cs="Times New Roman"/>
        </w:rPr>
        <w:t>tax-related issue</w:t>
      </w:r>
      <w:r w:rsidR="007C0C1C" w:rsidRPr="00970C35">
        <w:rPr>
          <w:rFonts w:ascii="Times New Roman" w:hAnsi="Times New Roman" w:cs="Times New Roman"/>
        </w:rPr>
        <w:t xml:space="preserve"> is in</w:t>
      </w:r>
      <w:r w:rsidRPr="00970C35">
        <w:rPr>
          <w:rFonts w:ascii="Times New Roman" w:hAnsi="Times New Roman" w:cs="Times New Roman"/>
        </w:rPr>
        <w:t xml:space="preserve"> section 5</w:t>
      </w:r>
      <w:r w:rsidR="0018557B" w:rsidRPr="00970C35">
        <w:rPr>
          <w:rFonts w:ascii="Times New Roman" w:hAnsi="Times New Roman" w:cs="Times New Roman"/>
        </w:rPr>
        <w:t>.6</w:t>
      </w:r>
      <w:r w:rsidRPr="00970C35">
        <w:rPr>
          <w:rFonts w:ascii="Times New Roman" w:hAnsi="Times New Roman" w:cs="Times New Roman"/>
        </w:rPr>
        <w:t>.</w:t>
      </w:r>
    </w:p>
    <w:p w:rsidR="00821BD4" w:rsidRPr="00970C35" w:rsidRDefault="00821BD4" w:rsidP="001871E9">
      <w:pPr>
        <w:spacing w:after="0" w:line="480" w:lineRule="auto"/>
        <w:ind w:firstLine="288"/>
        <w:jc w:val="both"/>
        <w:rPr>
          <w:rFonts w:ascii="Times New Roman" w:hAnsi="Times New Roman" w:cs="Times New Roman"/>
        </w:rPr>
      </w:pPr>
      <w:r w:rsidRPr="00970C35">
        <w:rPr>
          <w:rFonts w:ascii="Times New Roman" w:hAnsi="Times New Roman" w:cs="Times New Roman"/>
        </w:rPr>
        <w:t>In sum, in</w:t>
      </w:r>
      <w:r w:rsidR="00CF0FF8" w:rsidRPr="00970C35">
        <w:rPr>
          <w:rFonts w:ascii="Times New Roman" w:hAnsi="Times New Roman" w:cs="Times New Roman"/>
        </w:rPr>
        <w:t xml:space="preserve"> a sample of 41 countries</w:t>
      </w:r>
      <w:r w:rsidRPr="00970C35">
        <w:rPr>
          <w:rFonts w:ascii="Times New Roman" w:hAnsi="Times New Roman" w:cs="Times New Roman"/>
        </w:rPr>
        <w:t xml:space="preserve">, it appears that firms with </w:t>
      </w:r>
      <w:r w:rsidR="00EB288A" w:rsidRPr="00970C35">
        <w:rPr>
          <w:rFonts w:ascii="Times New Roman" w:hAnsi="Times New Roman" w:cs="Times New Roman"/>
        </w:rPr>
        <w:t>bigger size and higher FCFs</w:t>
      </w:r>
      <w:r w:rsidRPr="00970C35">
        <w:rPr>
          <w:rFonts w:ascii="Times New Roman" w:hAnsi="Times New Roman" w:cs="Times New Roman"/>
        </w:rPr>
        <w:t xml:space="preserve"> tend to have higher unexplained fourth quarter spending, consistent with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"10.1016/S0929-1199(01)00033-5", "ISBN" : "0929-1199", "ISSN" : "09291199", "abstract" : "Using the quarterly Compustat files, we present empirical findings that business capital investment is significantly higher in the fourth quarter than in other quarters. Even after controlling for business capital investment determinants, we find that the fourth quarter capital investment is significantly larger but less sensitive to investment opportunities than other quarters' capital investment. This phenomenon is more evident for firms with larger cash holdings than for firms with smaller cash holdings, for larger firms than for smaller firms, and for diversified firms than for stand-alone firms. Our findings suggest a high level of agency costs in corporate investment decisions. ?? 2002 Elsevier Science B.V. All rights reserved.", "author" : [ { "dropping-particle" : "", "family" : "Shin", "given" : "Hyun-Han", "non-dropping-particle" : "", "parse-names" : false, "suffix" : "" }, { "dropping-particle" : "", "family" : "Kim", "given" : "Yong H.", "non-dropping-particle" : "", "parse-names" : false, "suffix" : "" } ], "container-title" : "Journal of Corporate Finance", "id" : "ITEM-1", "issued" : { "date-parts" : [ [ "2002" ] ] }, "page" : "139-158", "title" : "Agency costs and efficiency of business capital investment: Evidence from quarterly capital expenditures", "type" : "article-journal", "volume" : "8" }, "uris" : [ "http://www.mendeley.com/documents/?uuid=1ecc75bf-057a-4382-be94-515f54fd7cd6" ] } ], "mendeley" : { "formattedCitation" : "Shin and Kim (2002)", "manualFormatting" : "Shin and Kim's (2002)", "plainTextFormattedCitation" : "Shin and Kim (2002)", "previouslyFormattedCitation" : "Shin and Kim (2002)" }, "properties" : { "noteIndex" : 0 }, "schema" : "https://github.com/citation-style-language/schema/raw/master/csl-citation.json" }</w:instrText>
      </w:r>
      <w:r w:rsidRPr="00970C35">
        <w:rPr>
          <w:rFonts w:ascii="Times New Roman" w:hAnsi="Times New Roman" w:cs="Times New Roman"/>
        </w:rPr>
        <w:fldChar w:fldCharType="separate"/>
      </w:r>
      <w:r w:rsidR="00CE7407" w:rsidRPr="00970C35">
        <w:rPr>
          <w:rFonts w:ascii="Times New Roman" w:hAnsi="Times New Roman" w:cs="Times New Roman"/>
          <w:noProof/>
        </w:rPr>
        <w:t>Shin and Kim</w:t>
      </w:r>
      <w:r w:rsidR="00660B84" w:rsidRPr="00970C35">
        <w:rPr>
          <w:rFonts w:ascii="Times New Roman" w:hAnsi="Times New Roman" w:cs="Times New Roman"/>
          <w:noProof/>
        </w:rPr>
        <w:t>'s</w:t>
      </w:r>
      <w:r w:rsidR="00CE7407" w:rsidRPr="00970C35">
        <w:rPr>
          <w:rFonts w:ascii="Times New Roman" w:hAnsi="Times New Roman" w:cs="Times New Roman"/>
          <w:noProof/>
        </w:rPr>
        <w:t xml:space="preserve"> (2002)</w:t>
      </w:r>
      <w:r w:rsidRPr="00970C35">
        <w:rPr>
          <w:rFonts w:ascii="Times New Roman" w:hAnsi="Times New Roman" w:cs="Times New Roman"/>
        </w:rPr>
        <w:fldChar w:fldCharType="end"/>
      </w:r>
      <w:r w:rsidR="000569ED" w:rsidRPr="00970C35">
        <w:rPr>
          <w:rFonts w:ascii="Times New Roman" w:hAnsi="Times New Roman" w:cs="Times New Roman"/>
        </w:rPr>
        <w:t xml:space="preserve"> results                                                                                                                                                                                                                                                                                                                                                                                                                                                                                                                                                                                                                                                                                                                                                                                                                                                                                                                                                                                                                                                                                                                                                                                                                                                                                                                                                                                                                                                                                                                                                                                                                                                                                                                    </w:t>
      </w:r>
      <w:r w:rsidRPr="00970C35">
        <w:rPr>
          <w:rFonts w:ascii="Times New Roman" w:hAnsi="Times New Roman" w:cs="Times New Roman"/>
        </w:rPr>
        <w:t xml:space="preserve"> using U</w:t>
      </w:r>
      <w:r w:rsidR="007C0C1C" w:rsidRPr="00970C35">
        <w:rPr>
          <w:rFonts w:ascii="Times New Roman" w:hAnsi="Times New Roman" w:cs="Times New Roman"/>
        </w:rPr>
        <w:t>.</w:t>
      </w:r>
      <w:r w:rsidRPr="00970C35">
        <w:rPr>
          <w:rFonts w:ascii="Times New Roman" w:hAnsi="Times New Roman" w:cs="Times New Roman"/>
        </w:rPr>
        <w:t>S</w:t>
      </w:r>
      <w:r w:rsidR="007C0C1C" w:rsidRPr="00970C35">
        <w:rPr>
          <w:rFonts w:ascii="Times New Roman" w:hAnsi="Times New Roman" w:cs="Times New Roman"/>
        </w:rPr>
        <w:t>.</w:t>
      </w:r>
      <w:r w:rsidRPr="00970C35">
        <w:rPr>
          <w:rFonts w:ascii="Times New Roman" w:hAnsi="Times New Roman" w:cs="Times New Roman"/>
        </w:rPr>
        <w:t xml:space="preserve"> data. Admittedly, variables such as firm size are broad and sometimes vague proxies. </w:t>
      </w:r>
      <w:r w:rsidR="00C42DB2" w:rsidRPr="00970C35">
        <w:rPr>
          <w:rFonts w:ascii="Times New Roman" w:hAnsi="Times New Roman" w:cs="Times New Roman"/>
        </w:rPr>
        <w:t xml:space="preserve">In section 4.4, which is the </w:t>
      </w:r>
      <w:r w:rsidR="00F53C8D" w:rsidRPr="00970C35">
        <w:rPr>
          <w:rFonts w:ascii="Times New Roman" w:hAnsi="Times New Roman" w:cs="Times New Roman"/>
        </w:rPr>
        <w:t xml:space="preserve">focus of this paper, we address this problem by taking advantage of </w:t>
      </w:r>
      <w:r w:rsidRPr="00970C35">
        <w:rPr>
          <w:rFonts w:ascii="Times New Roman" w:hAnsi="Times New Roman" w:cs="Times New Roman"/>
        </w:rPr>
        <w:t xml:space="preserve">country-level variables and </w:t>
      </w:r>
      <w:r w:rsidR="00F53C8D" w:rsidRPr="00970C35">
        <w:rPr>
          <w:rFonts w:ascii="Times New Roman" w:hAnsi="Times New Roman" w:cs="Times New Roman"/>
        </w:rPr>
        <w:t xml:space="preserve">their </w:t>
      </w:r>
      <w:r w:rsidRPr="00970C35">
        <w:rPr>
          <w:rFonts w:ascii="Times New Roman" w:hAnsi="Times New Roman" w:cs="Times New Roman"/>
        </w:rPr>
        <w:t>wide cross-country divergence</w:t>
      </w:r>
      <w:r w:rsidR="00F53C8D" w:rsidRPr="00970C35">
        <w:rPr>
          <w:rFonts w:ascii="Times New Roman" w:hAnsi="Times New Roman" w:cs="Times New Roman"/>
        </w:rPr>
        <w:t>s</w:t>
      </w:r>
      <w:r w:rsidRPr="00970C35">
        <w:rPr>
          <w:rFonts w:ascii="Times New Roman" w:hAnsi="Times New Roman" w:cs="Times New Roman"/>
        </w:rPr>
        <w:t xml:space="preserve"> </w:t>
      </w:r>
      <w:r w:rsidR="00C42DB2" w:rsidRPr="00970C35">
        <w:rPr>
          <w:rFonts w:ascii="Times New Roman" w:hAnsi="Times New Roman" w:cs="Times New Roman"/>
        </w:rPr>
        <w:t xml:space="preserve">that </w:t>
      </w:r>
      <w:r w:rsidRPr="00970C35">
        <w:rPr>
          <w:rFonts w:ascii="Times New Roman" w:hAnsi="Times New Roman" w:cs="Times New Roman"/>
        </w:rPr>
        <w:t xml:space="preserve">can provide a richer ground for testing our hypotheses. </w:t>
      </w:r>
    </w:p>
    <w:p w:rsidR="001871E9" w:rsidRPr="00970C35" w:rsidRDefault="007C0C1C" w:rsidP="001871E9">
      <w:pPr>
        <w:spacing w:after="240" w:line="480" w:lineRule="auto"/>
        <w:jc w:val="center"/>
        <w:rPr>
          <w:rFonts w:ascii="Times New Roman" w:hAnsi="Times New Roman" w:cs="Times New Roman"/>
          <w:szCs w:val="23"/>
        </w:rPr>
      </w:pPr>
      <w:r w:rsidRPr="00970C35">
        <w:rPr>
          <w:rFonts w:ascii="Times New Roman" w:hAnsi="Times New Roman" w:cs="Times New Roman"/>
          <w:szCs w:val="23"/>
        </w:rPr>
        <w:t>[</w:t>
      </w:r>
      <w:r w:rsidR="001871E9" w:rsidRPr="00970C35">
        <w:rPr>
          <w:rFonts w:ascii="Times New Roman" w:hAnsi="Times New Roman" w:cs="Times New Roman"/>
          <w:szCs w:val="23"/>
        </w:rPr>
        <w:t>Insert Table 4 here</w:t>
      </w:r>
      <w:r w:rsidRPr="00970C35">
        <w:rPr>
          <w:rFonts w:ascii="Times New Roman" w:hAnsi="Times New Roman" w:cs="Times New Roman"/>
          <w:szCs w:val="23"/>
        </w:rPr>
        <w:t>]</w:t>
      </w:r>
    </w:p>
    <w:p w:rsidR="00821BD4" w:rsidRPr="00970C35" w:rsidRDefault="00BF7092" w:rsidP="001871E9">
      <w:pPr>
        <w:spacing w:after="0" w:line="480" w:lineRule="auto"/>
        <w:jc w:val="both"/>
        <w:rPr>
          <w:rFonts w:ascii="Times New Roman" w:hAnsi="Times New Roman" w:cs="Times New Roman"/>
        </w:rPr>
      </w:pPr>
      <w:r w:rsidRPr="00970C35">
        <w:rPr>
          <w:rFonts w:ascii="Times New Roman" w:hAnsi="Times New Roman" w:cs="Times New Roman"/>
        </w:rPr>
        <w:t>4</w:t>
      </w:r>
      <w:r w:rsidR="00821BD4" w:rsidRPr="00970C35">
        <w:rPr>
          <w:rFonts w:ascii="Times New Roman" w:hAnsi="Times New Roman" w:cs="Times New Roman"/>
        </w:rPr>
        <w:t>.</w:t>
      </w:r>
      <w:r w:rsidR="005C0461" w:rsidRPr="00970C35">
        <w:rPr>
          <w:rFonts w:ascii="Times New Roman" w:hAnsi="Times New Roman" w:cs="Times New Roman"/>
        </w:rPr>
        <w:t>4</w:t>
      </w:r>
      <w:r w:rsidR="00821BD4" w:rsidRPr="00970C35">
        <w:rPr>
          <w:rFonts w:ascii="Times New Roman" w:hAnsi="Times New Roman" w:cs="Times New Roman"/>
        </w:rPr>
        <w:t xml:space="preserve">. Cross-country </w:t>
      </w:r>
      <w:r w:rsidR="006269D6" w:rsidRPr="00970C35">
        <w:rPr>
          <w:rFonts w:ascii="Times New Roman" w:hAnsi="Times New Roman" w:cs="Times New Roman"/>
        </w:rPr>
        <w:t>A</w:t>
      </w:r>
      <w:r w:rsidR="00821BD4" w:rsidRPr="00970C35">
        <w:rPr>
          <w:rFonts w:ascii="Times New Roman" w:hAnsi="Times New Roman" w:cs="Times New Roman"/>
        </w:rPr>
        <w:t>nalysis</w:t>
      </w:r>
    </w:p>
    <w:p w:rsidR="00CC153B" w:rsidRPr="00970C35" w:rsidRDefault="00412335" w:rsidP="003D0CAB">
      <w:pPr>
        <w:spacing w:after="120" w:line="480" w:lineRule="auto"/>
        <w:jc w:val="both"/>
        <w:rPr>
          <w:rFonts w:ascii="Times New Roman" w:hAnsi="Times New Roman" w:cs="Times New Roman"/>
        </w:rPr>
      </w:pPr>
      <w:r w:rsidRPr="00970C35">
        <w:rPr>
          <w:rFonts w:ascii="Times New Roman" w:hAnsi="Times New Roman" w:cs="Times New Roman"/>
          <w:szCs w:val="16"/>
        </w:rPr>
        <w:t xml:space="preserve">As mentioned in section 2, we investigate </w:t>
      </w:r>
      <w:r w:rsidR="00F52739" w:rsidRPr="00970C35">
        <w:rPr>
          <w:rFonts w:ascii="Times New Roman" w:hAnsi="Times New Roman" w:cs="Times New Roman"/>
          <w:szCs w:val="16"/>
        </w:rPr>
        <w:t>two country-level</w:t>
      </w:r>
      <w:r w:rsidRPr="00970C35">
        <w:rPr>
          <w:rFonts w:ascii="Times New Roman" w:hAnsi="Times New Roman" w:cs="Times New Roman"/>
          <w:szCs w:val="16"/>
        </w:rPr>
        <w:t xml:space="preserve"> channels </w:t>
      </w:r>
      <w:r w:rsidR="00CF0FF8" w:rsidRPr="00970C35">
        <w:rPr>
          <w:rFonts w:ascii="Times New Roman" w:hAnsi="Times New Roman" w:cs="Times New Roman"/>
          <w:szCs w:val="16"/>
        </w:rPr>
        <w:t xml:space="preserve">by </w:t>
      </w:r>
      <w:r w:rsidRPr="00970C35">
        <w:rPr>
          <w:rFonts w:ascii="Times New Roman" w:hAnsi="Times New Roman" w:cs="Times New Roman"/>
          <w:szCs w:val="16"/>
        </w:rPr>
        <w:t xml:space="preserve">which companies’ seasonal investment behaviors can be affected. </w:t>
      </w:r>
      <w:r w:rsidRPr="00970C35">
        <w:rPr>
          <w:rFonts w:ascii="Times New Roman" w:hAnsi="Times New Roman" w:cs="Times New Roman"/>
        </w:rPr>
        <w:t xml:space="preserve">In this section, we use cross-country analysis to evaluate and compare various explanations for the “fourth quarter effect”. </w:t>
      </w:r>
      <w:r w:rsidR="002B3CB7" w:rsidRPr="00970C35">
        <w:rPr>
          <w:rFonts w:ascii="Times New Roman" w:hAnsi="Times New Roman" w:cs="Times New Roman"/>
        </w:rPr>
        <w:t>Thus</w:t>
      </w:r>
      <w:r w:rsidRPr="00970C35">
        <w:rPr>
          <w:rFonts w:ascii="Times New Roman" w:hAnsi="Times New Roman" w:cs="Times New Roman"/>
        </w:rPr>
        <w:t xml:space="preserve">, we investigate how country characteristics influence seasonal investment behaviors of firms that are located </w:t>
      </w:r>
      <w:r w:rsidR="00CC153B" w:rsidRPr="00970C35">
        <w:rPr>
          <w:rFonts w:ascii="Times New Roman" w:hAnsi="Times New Roman" w:cs="Times New Roman"/>
        </w:rPr>
        <w:t xml:space="preserve">in </w:t>
      </w:r>
      <w:r w:rsidRPr="00970C35">
        <w:rPr>
          <w:rFonts w:ascii="Times New Roman" w:hAnsi="Times New Roman" w:cs="Times New Roman"/>
        </w:rPr>
        <w:t>different countries but are otherwise similar. W</w:t>
      </w:r>
      <w:r w:rsidRPr="00970C35">
        <w:rPr>
          <w:rFonts w:ascii="Times New Roman" w:hAnsi="Times New Roman" w:cs="Times New Roman"/>
          <w:szCs w:val="16"/>
        </w:rPr>
        <w:t xml:space="preserve">e </w:t>
      </w:r>
      <w:r w:rsidR="00CA1C10" w:rsidRPr="00970C35">
        <w:rPr>
          <w:rFonts w:ascii="Times New Roman" w:hAnsi="Times New Roman" w:cs="Times New Roman"/>
          <w:szCs w:val="16"/>
        </w:rPr>
        <w:t xml:space="preserve">have </w:t>
      </w:r>
      <w:r w:rsidRPr="00970C35">
        <w:rPr>
          <w:rFonts w:ascii="Times New Roman" w:hAnsi="Times New Roman" w:cs="Times New Roman"/>
        </w:rPr>
        <w:t>provide</w:t>
      </w:r>
      <w:r w:rsidR="00CA1C10" w:rsidRPr="00970C35">
        <w:rPr>
          <w:rFonts w:ascii="Times New Roman" w:hAnsi="Times New Roman" w:cs="Times New Roman"/>
        </w:rPr>
        <w:t>d</w:t>
      </w:r>
      <w:r w:rsidRPr="00970C35">
        <w:rPr>
          <w:rFonts w:ascii="Times New Roman" w:hAnsi="Times New Roman" w:cs="Times New Roman"/>
        </w:rPr>
        <w:t xml:space="preserve"> </w:t>
      </w:r>
      <w:r w:rsidR="002B3CB7" w:rsidRPr="00970C35">
        <w:rPr>
          <w:rFonts w:ascii="Times New Roman" w:hAnsi="Times New Roman" w:cs="Times New Roman"/>
        </w:rPr>
        <w:t xml:space="preserve">a </w:t>
      </w:r>
      <w:r w:rsidRPr="00970C35">
        <w:rPr>
          <w:rFonts w:ascii="Times New Roman" w:hAnsi="Times New Roman" w:cs="Times New Roman"/>
        </w:rPr>
        <w:t>brief rationale for the selection of the variables</w:t>
      </w:r>
      <w:r w:rsidR="00CA1C10" w:rsidRPr="00970C35">
        <w:rPr>
          <w:rFonts w:ascii="Times New Roman" w:hAnsi="Times New Roman" w:cs="Times New Roman"/>
        </w:rPr>
        <w:t xml:space="preserve"> of country characteristics</w:t>
      </w:r>
      <w:r w:rsidRPr="00970C35">
        <w:rPr>
          <w:rFonts w:ascii="Times New Roman" w:hAnsi="Times New Roman" w:cs="Times New Roman"/>
        </w:rPr>
        <w:t xml:space="preserve"> </w:t>
      </w:r>
      <w:r w:rsidR="00CA1C10" w:rsidRPr="00970C35">
        <w:rPr>
          <w:rFonts w:ascii="Times New Roman" w:hAnsi="Times New Roman" w:cs="Times New Roman"/>
        </w:rPr>
        <w:t>in section 2 and 3</w:t>
      </w:r>
      <w:r w:rsidR="002B3CB7" w:rsidRPr="00970C35">
        <w:rPr>
          <w:rFonts w:ascii="Times New Roman" w:hAnsi="Times New Roman" w:cs="Times New Roman"/>
        </w:rPr>
        <w:t>; see Appendix A for d</w:t>
      </w:r>
      <w:r w:rsidRPr="00970C35">
        <w:rPr>
          <w:rFonts w:ascii="Times New Roman" w:hAnsi="Times New Roman" w:cs="Times New Roman"/>
        </w:rPr>
        <w:t>etail</w:t>
      </w:r>
      <w:r w:rsidR="00CA1C10" w:rsidRPr="00970C35">
        <w:rPr>
          <w:rFonts w:ascii="Times New Roman" w:hAnsi="Times New Roman" w:cs="Times New Roman"/>
        </w:rPr>
        <w:t>ed</w:t>
      </w:r>
      <w:r w:rsidRPr="00970C35">
        <w:rPr>
          <w:rFonts w:ascii="Times New Roman" w:hAnsi="Times New Roman" w:cs="Times New Roman"/>
        </w:rPr>
        <w:t xml:space="preserve"> variable definitions. </w:t>
      </w:r>
      <w:r w:rsidR="00CC153B" w:rsidRPr="00970C35">
        <w:rPr>
          <w:rFonts w:ascii="Times New Roman" w:hAnsi="Times New Roman" w:cs="Times New Roman"/>
        </w:rPr>
        <w:t xml:space="preserve">Our preliminary results are presented in Figure 2. We divide our full sample into two subsamples based on </w:t>
      </w:r>
      <w:r w:rsidR="00F52739" w:rsidRPr="00970C35">
        <w:rPr>
          <w:rFonts w:ascii="Times New Roman" w:hAnsi="Times New Roman" w:cs="Times New Roman"/>
        </w:rPr>
        <w:t>whether a country’s legal origin is English Common law</w:t>
      </w:r>
      <w:r w:rsidR="00CC153B" w:rsidRPr="00970C35">
        <w:rPr>
          <w:rFonts w:ascii="Times New Roman" w:hAnsi="Times New Roman" w:cs="Times New Roman"/>
        </w:rPr>
        <w:t xml:space="preserve">, and three subsamples based on </w:t>
      </w:r>
      <w:r w:rsidR="003D0CAB" w:rsidRPr="00970C35">
        <w:rPr>
          <w:rFonts w:ascii="Times New Roman" w:hAnsi="Times New Roman" w:cs="Times New Roman"/>
        </w:rPr>
        <w:t xml:space="preserve">tertiles of </w:t>
      </w:r>
      <w:r w:rsidR="00CC153B" w:rsidRPr="00970C35">
        <w:rPr>
          <w:rFonts w:ascii="Times New Roman" w:hAnsi="Times New Roman" w:cs="Times New Roman"/>
        </w:rPr>
        <w:t>other country characteristics</w:t>
      </w:r>
      <w:r w:rsidR="007974DF" w:rsidRPr="00970C35">
        <w:rPr>
          <w:rFonts w:ascii="Times New Roman" w:hAnsi="Times New Roman" w:cs="Times New Roman"/>
        </w:rPr>
        <w:t xml:space="preserve"> that are used to measure investor rights and protection as well as financial market development</w:t>
      </w:r>
      <w:r w:rsidR="00815311" w:rsidRPr="00970C35">
        <w:rPr>
          <w:rFonts w:ascii="Times New Roman" w:hAnsi="Times New Roman" w:cs="Times New Roman"/>
        </w:rPr>
        <w:t>.</w:t>
      </w:r>
      <w:r w:rsidR="007974DF" w:rsidRPr="00970C35">
        <w:rPr>
          <w:rFonts w:ascii="Times New Roman" w:hAnsi="Times New Roman" w:cs="Times New Roman"/>
        </w:rPr>
        <w:t xml:space="preserve"> </w:t>
      </w:r>
      <w:r w:rsidR="00815311" w:rsidRPr="00970C35">
        <w:rPr>
          <w:rFonts w:ascii="Times New Roman" w:hAnsi="Times New Roman" w:cs="Times New Roman"/>
        </w:rPr>
        <w:t>These characteristics are</w:t>
      </w:r>
      <w:r w:rsidR="007974DF" w:rsidRPr="00970C35">
        <w:rPr>
          <w:rFonts w:ascii="Times New Roman" w:hAnsi="Times New Roman" w:cs="Times New Roman"/>
        </w:rPr>
        <w:t xml:space="preserve"> described in section 3.1</w:t>
      </w:r>
      <w:r w:rsidR="00CC153B" w:rsidRPr="00970C35">
        <w:rPr>
          <w:rFonts w:ascii="Times New Roman" w:hAnsi="Times New Roman" w:cs="Times New Roman"/>
        </w:rPr>
        <w:t xml:space="preserve">. </w:t>
      </w:r>
      <w:r w:rsidR="007974DF" w:rsidRPr="00970C35">
        <w:rPr>
          <w:rFonts w:ascii="Times New Roman" w:hAnsi="Times New Roman" w:cs="Times New Roman"/>
        </w:rPr>
        <w:t>For all the characteristics except for earnings management, a higher number is associated with stronger investor rights and protection</w:t>
      </w:r>
      <w:r w:rsidR="002B3CB7" w:rsidRPr="00970C35">
        <w:rPr>
          <w:rFonts w:ascii="Times New Roman" w:hAnsi="Times New Roman" w:cs="Times New Roman"/>
        </w:rPr>
        <w:t>,</w:t>
      </w:r>
      <w:r w:rsidR="007974DF" w:rsidRPr="00970C35">
        <w:rPr>
          <w:rFonts w:ascii="Times New Roman" w:hAnsi="Times New Roman" w:cs="Times New Roman"/>
        </w:rPr>
        <w:t xml:space="preserve"> or more developed financial market</w:t>
      </w:r>
      <w:r w:rsidR="002B3CB7" w:rsidRPr="00970C35">
        <w:rPr>
          <w:rFonts w:ascii="Times New Roman" w:hAnsi="Times New Roman" w:cs="Times New Roman"/>
        </w:rPr>
        <w:t>s</w:t>
      </w:r>
      <w:r w:rsidR="007974DF" w:rsidRPr="00970C35">
        <w:rPr>
          <w:rFonts w:ascii="Times New Roman" w:hAnsi="Times New Roman" w:cs="Times New Roman"/>
        </w:rPr>
        <w:t xml:space="preserve">. For example, in the first graph in Figure 2, group 1 (3) represents firms in countries with the lowest (highest) </w:t>
      </w:r>
      <w:r w:rsidR="003A2176" w:rsidRPr="00970C35">
        <w:rPr>
          <w:rFonts w:ascii="Times New Roman" w:hAnsi="Times New Roman" w:cs="Times New Roman"/>
        </w:rPr>
        <w:t>anti-director index</w:t>
      </w:r>
      <w:r w:rsidR="007974DF" w:rsidRPr="00970C35">
        <w:rPr>
          <w:rFonts w:ascii="Times New Roman" w:hAnsi="Times New Roman" w:cs="Times New Roman"/>
        </w:rPr>
        <w:t>.</w:t>
      </w:r>
      <w:r w:rsidR="000D05E6" w:rsidRPr="00970C35">
        <w:rPr>
          <w:rFonts w:ascii="Times New Roman" w:hAnsi="Times New Roman" w:cs="Times New Roman"/>
        </w:rPr>
        <w:t xml:space="preserve"> In the next graph, group 1 (3) represents firms in countries with the lowest (highest)</w:t>
      </w:r>
      <w:r w:rsidR="003A2176" w:rsidRPr="00970C35">
        <w:rPr>
          <w:rFonts w:ascii="Times New Roman" w:hAnsi="Times New Roman" w:cs="Times New Roman"/>
        </w:rPr>
        <w:t xml:space="preserve"> </w:t>
      </w:r>
      <w:r w:rsidR="00815311" w:rsidRPr="00970C35">
        <w:rPr>
          <w:rFonts w:ascii="Times New Roman" w:hAnsi="Times New Roman" w:cs="Times New Roman"/>
        </w:rPr>
        <w:t xml:space="preserve">overall </w:t>
      </w:r>
      <w:r w:rsidR="003A2176" w:rsidRPr="00970C35">
        <w:rPr>
          <w:rFonts w:ascii="Times New Roman" w:hAnsi="Times New Roman" w:cs="Times New Roman"/>
        </w:rPr>
        <w:t>financial market development</w:t>
      </w:r>
      <w:r w:rsidR="000D05E6" w:rsidRPr="00970C35">
        <w:rPr>
          <w:rFonts w:ascii="Times New Roman" w:hAnsi="Times New Roman" w:cs="Times New Roman"/>
        </w:rPr>
        <w:t>. For earnings m</w:t>
      </w:r>
      <w:r w:rsidR="002B3CB7" w:rsidRPr="00970C35">
        <w:rPr>
          <w:rFonts w:ascii="Times New Roman" w:hAnsi="Times New Roman" w:cs="Times New Roman"/>
        </w:rPr>
        <w:t>anagement, it is the opposite—</w:t>
      </w:r>
      <w:r w:rsidR="000D05E6" w:rsidRPr="00970C35">
        <w:rPr>
          <w:rFonts w:ascii="Times New Roman" w:hAnsi="Times New Roman" w:cs="Times New Roman"/>
        </w:rPr>
        <w:t xml:space="preserve">group 1 (3) represents firms in countries with the highest (lowest) earnings quality and thus highest (lowest) investor protection. </w:t>
      </w:r>
      <w:r w:rsidR="00CC153B" w:rsidRPr="00970C35">
        <w:rPr>
          <w:rFonts w:ascii="Times New Roman" w:hAnsi="Times New Roman" w:cs="Times New Roman"/>
        </w:rPr>
        <w:t>All the graphs</w:t>
      </w:r>
      <w:r w:rsidR="002B3CB7" w:rsidRPr="00970C35">
        <w:rPr>
          <w:rFonts w:ascii="Times New Roman" w:hAnsi="Times New Roman" w:cs="Times New Roman"/>
        </w:rPr>
        <w:t xml:space="preserve"> depicted</w:t>
      </w:r>
      <w:r w:rsidR="00CC153B" w:rsidRPr="00970C35">
        <w:rPr>
          <w:rFonts w:ascii="Times New Roman" w:hAnsi="Times New Roman" w:cs="Times New Roman"/>
        </w:rPr>
        <w:t xml:space="preserve"> in Figure 2 show that firms in countries with better investor rights and protection</w:t>
      </w:r>
      <w:r w:rsidR="002B3CB7" w:rsidRPr="00970C35">
        <w:rPr>
          <w:rFonts w:ascii="Times New Roman" w:hAnsi="Times New Roman" w:cs="Times New Roman"/>
        </w:rPr>
        <w:t>,</w:t>
      </w:r>
      <w:r w:rsidR="00CC153B" w:rsidRPr="00970C35">
        <w:rPr>
          <w:rFonts w:ascii="Times New Roman" w:hAnsi="Times New Roman" w:cs="Times New Roman"/>
        </w:rPr>
        <w:t xml:space="preserve"> and more </w:t>
      </w:r>
      <w:r w:rsidR="00CC153B" w:rsidRPr="00970C35">
        <w:rPr>
          <w:rFonts w:ascii="Times New Roman" w:hAnsi="Times New Roman" w:cs="Times New Roman"/>
        </w:rPr>
        <w:lastRenderedPageBreak/>
        <w:t>developed financial markets</w:t>
      </w:r>
      <w:r w:rsidR="002B3CB7" w:rsidRPr="00970C35">
        <w:rPr>
          <w:rFonts w:ascii="Times New Roman" w:hAnsi="Times New Roman" w:cs="Times New Roman"/>
        </w:rPr>
        <w:t>,</w:t>
      </w:r>
      <w:r w:rsidR="00CC153B" w:rsidRPr="00970C35">
        <w:rPr>
          <w:rFonts w:ascii="Times New Roman" w:hAnsi="Times New Roman" w:cs="Times New Roman"/>
        </w:rPr>
        <w:t xml:space="preserve"> demonstrate less severe “fourth quarter effect”. </w:t>
      </w:r>
      <w:r w:rsidR="000D05E6" w:rsidRPr="00970C35">
        <w:rPr>
          <w:rFonts w:ascii="Times New Roman" w:hAnsi="Times New Roman" w:cs="Times New Roman"/>
        </w:rPr>
        <w:t xml:space="preserve">The patterns are mostly monotonic, and for the two that are not (IPO and earnings management), the trend is consistent with our expectations. </w:t>
      </w:r>
      <w:r w:rsidR="00CC153B" w:rsidRPr="00970C35">
        <w:rPr>
          <w:rFonts w:ascii="Times New Roman" w:hAnsi="Times New Roman" w:cs="Times New Roman"/>
        </w:rPr>
        <w:t>We next present more rigorous regression results.</w:t>
      </w:r>
    </w:p>
    <w:p w:rsidR="00F52739" w:rsidRPr="00970C35" w:rsidRDefault="002B3CB7" w:rsidP="00F52739">
      <w:pPr>
        <w:spacing w:after="240" w:line="480" w:lineRule="auto"/>
        <w:jc w:val="center"/>
        <w:rPr>
          <w:rFonts w:ascii="Times New Roman" w:hAnsi="Times New Roman" w:cs="Times New Roman"/>
          <w:szCs w:val="23"/>
        </w:rPr>
      </w:pPr>
      <w:r w:rsidRPr="00970C35">
        <w:rPr>
          <w:rFonts w:ascii="Times New Roman" w:hAnsi="Times New Roman" w:cs="Times New Roman"/>
          <w:szCs w:val="23"/>
        </w:rPr>
        <w:t>[</w:t>
      </w:r>
      <w:r w:rsidR="00F52739" w:rsidRPr="00970C35">
        <w:rPr>
          <w:rFonts w:ascii="Times New Roman" w:hAnsi="Times New Roman" w:cs="Times New Roman"/>
          <w:szCs w:val="23"/>
        </w:rPr>
        <w:t>Insert Figure 2 here</w:t>
      </w:r>
      <w:r w:rsidRPr="00970C35">
        <w:rPr>
          <w:rFonts w:ascii="Times New Roman" w:hAnsi="Times New Roman" w:cs="Times New Roman"/>
          <w:szCs w:val="23"/>
        </w:rPr>
        <w:t>]</w:t>
      </w:r>
    </w:p>
    <w:p w:rsidR="00821BD4" w:rsidRPr="00970C35" w:rsidRDefault="00BF7092" w:rsidP="00246320">
      <w:pPr>
        <w:spacing w:after="0" w:line="480" w:lineRule="auto"/>
        <w:jc w:val="both"/>
        <w:rPr>
          <w:rFonts w:ascii="Times New Roman" w:hAnsi="Times New Roman" w:cs="Times New Roman"/>
        </w:rPr>
      </w:pPr>
      <w:r w:rsidRPr="00970C35">
        <w:rPr>
          <w:rFonts w:ascii="Times New Roman" w:hAnsi="Times New Roman" w:cs="Times New Roman"/>
        </w:rPr>
        <w:t>4</w:t>
      </w:r>
      <w:r w:rsidR="00821BD4" w:rsidRPr="00970C35">
        <w:rPr>
          <w:rFonts w:ascii="Times New Roman" w:hAnsi="Times New Roman" w:cs="Times New Roman"/>
        </w:rPr>
        <w:t>.</w:t>
      </w:r>
      <w:r w:rsidR="005C0461" w:rsidRPr="00970C35">
        <w:rPr>
          <w:rFonts w:ascii="Times New Roman" w:hAnsi="Times New Roman" w:cs="Times New Roman"/>
        </w:rPr>
        <w:t>4</w:t>
      </w:r>
      <w:r w:rsidR="00821BD4" w:rsidRPr="00970C35">
        <w:rPr>
          <w:rFonts w:ascii="Times New Roman" w:hAnsi="Times New Roman" w:cs="Times New Roman"/>
        </w:rPr>
        <w:t>.</w:t>
      </w:r>
      <w:r w:rsidR="00412335" w:rsidRPr="00970C35">
        <w:rPr>
          <w:rFonts w:ascii="Times New Roman" w:hAnsi="Times New Roman" w:cs="Times New Roman"/>
        </w:rPr>
        <w:t>1</w:t>
      </w:r>
      <w:r w:rsidR="00821BD4" w:rsidRPr="00970C35">
        <w:rPr>
          <w:rFonts w:ascii="Times New Roman" w:hAnsi="Times New Roman" w:cs="Times New Roman"/>
        </w:rPr>
        <w:t xml:space="preserve">. </w:t>
      </w:r>
      <w:r w:rsidR="00EA7838" w:rsidRPr="00970C35">
        <w:rPr>
          <w:rFonts w:ascii="Times New Roman" w:hAnsi="Times New Roman" w:cs="Times New Roman"/>
        </w:rPr>
        <w:t xml:space="preserve">Baseline </w:t>
      </w:r>
      <w:r w:rsidR="006269D6" w:rsidRPr="00970C35">
        <w:rPr>
          <w:rFonts w:ascii="Times New Roman" w:hAnsi="Times New Roman" w:cs="Times New Roman"/>
        </w:rPr>
        <w:t>E</w:t>
      </w:r>
      <w:r w:rsidR="00821BD4" w:rsidRPr="00970C35">
        <w:rPr>
          <w:rFonts w:ascii="Times New Roman" w:hAnsi="Times New Roman" w:cs="Times New Roman"/>
        </w:rPr>
        <w:t xml:space="preserve">mpirical </w:t>
      </w:r>
      <w:r w:rsidR="006269D6" w:rsidRPr="00970C35">
        <w:rPr>
          <w:rFonts w:ascii="Times New Roman" w:hAnsi="Times New Roman" w:cs="Times New Roman"/>
        </w:rPr>
        <w:t>R</w:t>
      </w:r>
      <w:r w:rsidR="00821BD4" w:rsidRPr="00970C35">
        <w:rPr>
          <w:rFonts w:ascii="Times New Roman" w:hAnsi="Times New Roman" w:cs="Times New Roman"/>
        </w:rPr>
        <w:t xml:space="preserve">esults </w:t>
      </w:r>
      <w:r w:rsidR="006269D6" w:rsidRPr="00970C35">
        <w:rPr>
          <w:rFonts w:ascii="Times New Roman" w:hAnsi="Times New Roman" w:cs="Times New Roman"/>
        </w:rPr>
        <w:t>B</w:t>
      </w:r>
      <w:r w:rsidR="00821BD4" w:rsidRPr="00970C35">
        <w:rPr>
          <w:rFonts w:ascii="Times New Roman" w:hAnsi="Times New Roman" w:cs="Times New Roman"/>
        </w:rPr>
        <w:t xml:space="preserve">ased on </w:t>
      </w:r>
      <w:r w:rsidR="006269D6" w:rsidRPr="00970C35">
        <w:rPr>
          <w:rFonts w:ascii="Times New Roman" w:hAnsi="Times New Roman" w:cs="Times New Roman"/>
        </w:rPr>
        <w:t>C</w:t>
      </w:r>
      <w:r w:rsidR="00821BD4" w:rsidRPr="00970C35">
        <w:rPr>
          <w:rFonts w:ascii="Times New Roman" w:hAnsi="Times New Roman" w:cs="Times New Roman"/>
        </w:rPr>
        <w:t xml:space="preserve">ountry </w:t>
      </w:r>
      <w:r w:rsidR="006269D6" w:rsidRPr="00970C35">
        <w:rPr>
          <w:rFonts w:ascii="Times New Roman" w:hAnsi="Times New Roman" w:cs="Times New Roman"/>
        </w:rPr>
        <w:t>C</w:t>
      </w:r>
      <w:r w:rsidR="00821BD4" w:rsidRPr="00970C35">
        <w:rPr>
          <w:rFonts w:ascii="Times New Roman" w:hAnsi="Times New Roman" w:cs="Times New Roman"/>
        </w:rPr>
        <w:t>haracteristics</w:t>
      </w:r>
    </w:p>
    <w:p w:rsidR="00821BD4" w:rsidRPr="00970C35" w:rsidRDefault="00821BD4" w:rsidP="00246320">
      <w:pPr>
        <w:spacing w:after="0" w:line="480" w:lineRule="auto"/>
        <w:jc w:val="both"/>
        <w:rPr>
          <w:rFonts w:ascii="Times New Roman" w:hAnsi="Times New Roman" w:cs="Times New Roman"/>
        </w:rPr>
      </w:pPr>
      <w:r w:rsidRPr="00970C35">
        <w:rPr>
          <w:rFonts w:ascii="Times New Roman" w:hAnsi="Times New Roman" w:cs="Times New Roman"/>
        </w:rPr>
        <w:t xml:space="preserve">Table 4 Panel B reports the baseline results for regressions that include all the country-level variables, controlling for quarterly cash flow, Tobin’s </w:t>
      </w:r>
      <w:r w:rsidR="00FB0C01" w:rsidRPr="00970C35">
        <w:rPr>
          <w:rFonts w:ascii="Times New Roman" w:hAnsi="Times New Roman" w:cs="Times New Roman"/>
        </w:rPr>
        <w:t>q</w:t>
      </w:r>
      <w:r w:rsidRPr="00970C35">
        <w:rPr>
          <w:rFonts w:ascii="Times New Roman" w:hAnsi="Times New Roman" w:cs="Times New Roman"/>
        </w:rPr>
        <w:t>, fourth quarter dummy, natural logarithm of GDP per capita</w:t>
      </w:r>
      <w:r w:rsidR="002B3CB7" w:rsidRPr="00970C35">
        <w:rPr>
          <w:rFonts w:ascii="Times New Roman" w:hAnsi="Times New Roman" w:cs="Times New Roman"/>
        </w:rPr>
        <w:t>,</w:t>
      </w:r>
      <w:r w:rsidRPr="00970C35">
        <w:rPr>
          <w:rFonts w:ascii="Times New Roman" w:hAnsi="Times New Roman" w:cs="Times New Roman"/>
        </w:rPr>
        <w:t xml:space="preserve"> and annual GDP growth rate. </w:t>
      </w:r>
      <w:r w:rsidR="007C67F5" w:rsidRPr="00970C35">
        <w:rPr>
          <w:rFonts w:ascii="Times New Roman" w:hAnsi="Times New Roman" w:cs="Times New Roman"/>
        </w:rPr>
        <w:t xml:space="preserve">The results that we are most interested in are coefficients of the interaction </w:t>
      </w:r>
      <w:r w:rsidR="00CF0FF8" w:rsidRPr="00970C35">
        <w:rPr>
          <w:rFonts w:ascii="Times New Roman" w:hAnsi="Times New Roman" w:cs="Times New Roman"/>
        </w:rPr>
        <w:t xml:space="preserve">terms </w:t>
      </w:r>
      <w:r w:rsidR="007C67F5" w:rsidRPr="00970C35">
        <w:rPr>
          <w:rFonts w:ascii="Times New Roman" w:hAnsi="Times New Roman" w:cs="Times New Roman"/>
        </w:rPr>
        <w:t xml:space="preserve">between country-level variables and fourth quarter dummy. All the coefficients are consistent with </w:t>
      </w:r>
      <w:r w:rsidR="00FB0C01" w:rsidRPr="00970C35">
        <w:rPr>
          <w:rFonts w:ascii="Times New Roman" w:hAnsi="Times New Roman" w:cs="Times New Roman"/>
        </w:rPr>
        <w:t>our main</w:t>
      </w:r>
      <w:r w:rsidR="007C67F5" w:rsidRPr="00970C35">
        <w:rPr>
          <w:rFonts w:ascii="Times New Roman" w:hAnsi="Times New Roman" w:cs="Times New Roman"/>
        </w:rPr>
        <w:t xml:space="preserve"> predictions in our hypotheses in section 2, and statistically significant. For example, a firm from a country with stronger investor rights and protection (Column 1</w:t>
      </w:r>
      <w:r w:rsidR="002B3CB7" w:rsidRPr="00970C35">
        <w:rPr>
          <w:rFonts w:ascii="Times New Roman" w:hAnsi="Times New Roman" w:cs="Times New Roman"/>
        </w:rPr>
        <w:t>–</w:t>
      </w:r>
      <w:r w:rsidR="007C67F5" w:rsidRPr="00970C35">
        <w:rPr>
          <w:rFonts w:ascii="Times New Roman" w:hAnsi="Times New Roman" w:cs="Times New Roman"/>
        </w:rPr>
        <w:t>7) and more developed financial market (Column 8</w:t>
      </w:r>
      <w:r w:rsidR="002B3CB7" w:rsidRPr="00970C35">
        <w:rPr>
          <w:rFonts w:ascii="Times New Roman" w:hAnsi="Times New Roman" w:cs="Times New Roman"/>
        </w:rPr>
        <w:t>–</w:t>
      </w:r>
      <w:r w:rsidR="007C67F5" w:rsidRPr="00970C35">
        <w:rPr>
          <w:rFonts w:ascii="Times New Roman" w:hAnsi="Times New Roman" w:cs="Times New Roman"/>
        </w:rPr>
        <w:t xml:space="preserve">11) spends </w:t>
      </w:r>
      <w:r w:rsidR="00546783" w:rsidRPr="00970C35">
        <w:rPr>
          <w:rFonts w:ascii="Times New Roman" w:hAnsi="Times New Roman" w:cs="Times New Roman"/>
        </w:rPr>
        <w:t>less in the fourth fiscal</w:t>
      </w:r>
      <w:r w:rsidR="007C67F5" w:rsidRPr="00970C35">
        <w:rPr>
          <w:rFonts w:ascii="Times New Roman" w:hAnsi="Times New Roman" w:cs="Times New Roman"/>
        </w:rPr>
        <w:t xml:space="preserve"> quarter </w:t>
      </w:r>
      <w:r w:rsidR="00546783" w:rsidRPr="00970C35">
        <w:rPr>
          <w:rFonts w:ascii="Times New Roman" w:hAnsi="Times New Roman" w:cs="Times New Roman"/>
        </w:rPr>
        <w:t>than</w:t>
      </w:r>
      <w:r w:rsidR="007C67F5" w:rsidRPr="00970C35">
        <w:rPr>
          <w:rFonts w:ascii="Times New Roman" w:hAnsi="Times New Roman" w:cs="Times New Roman"/>
        </w:rPr>
        <w:t xml:space="preserve"> </w:t>
      </w:r>
      <w:r w:rsidR="00546783" w:rsidRPr="00970C35">
        <w:rPr>
          <w:rFonts w:ascii="Times New Roman" w:hAnsi="Times New Roman" w:cs="Times New Roman"/>
        </w:rPr>
        <w:t xml:space="preserve">does </w:t>
      </w:r>
      <w:r w:rsidR="007C67F5" w:rsidRPr="00970C35">
        <w:rPr>
          <w:rFonts w:ascii="Times New Roman" w:hAnsi="Times New Roman" w:cs="Times New Roman"/>
        </w:rPr>
        <w:t xml:space="preserve">a firm from a country with </w:t>
      </w:r>
      <w:r w:rsidR="00546783" w:rsidRPr="00970C35">
        <w:rPr>
          <w:rFonts w:ascii="Times New Roman" w:hAnsi="Times New Roman" w:cs="Times New Roman"/>
        </w:rPr>
        <w:t xml:space="preserve">weaker investor rights and protection and </w:t>
      </w:r>
      <w:r w:rsidR="007C67F5" w:rsidRPr="00970C35">
        <w:rPr>
          <w:rFonts w:ascii="Times New Roman" w:hAnsi="Times New Roman" w:cs="Times New Roman"/>
        </w:rPr>
        <w:t>less developed financial market</w:t>
      </w:r>
      <w:r w:rsidR="002B3CB7" w:rsidRPr="00970C35">
        <w:rPr>
          <w:rFonts w:ascii="Times New Roman" w:hAnsi="Times New Roman" w:cs="Times New Roman"/>
        </w:rPr>
        <w:t>s</w:t>
      </w:r>
      <w:r w:rsidR="00546783" w:rsidRPr="00970C35">
        <w:rPr>
          <w:rFonts w:ascii="Times New Roman" w:hAnsi="Times New Roman" w:cs="Times New Roman"/>
        </w:rPr>
        <w:t xml:space="preserve">. However, there is no significant difference </w:t>
      </w:r>
      <w:r w:rsidR="002B3CB7" w:rsidRPr="00970C35">
        <w:rPr>
          <w:rFonts w:ascii="Times New Roman" w:hAnsi="Times New Roman" w:cs="Times New Roman"/>
        </w:rPr>
        <w:t xml:space="preserve">shown </w:t>
      </w:r>
      <w:r w:rsidR="00546783" w:rsidRPr="00970C35">
        <w:rPr>
          <w:rFonts w:ascii="Times New Roman" w:hAnsi="Times New Roman" w:cs="Times New Roman"/>
        </w:rPr>
        <w:t xml:space="preserve">between their </w:t>
      </w:r>
      <w:r w:rsidR="002B3CB7" w:rsidRPr="00970C35">
        <w:rPr>
          <w:rFonts w:ascii="Times New Roman" w:hAnsi="Times New Roman" w:cs="Times New Roman"/>
        </w:rPr>
        <w:t>investments</w:t>
      </w:r>
      <w:r w:rsidR="00546783" w:rsidRPr="00970C35">
        <w:rPr>
          <w:rFonts w:ascii="Times New Roman" w:hAnsi="Times New Roman" w:cs="Times New Roman"/>
        </w:rPr>
        <w:t xml:space="preserve"> in a non-fourth quarter</w:t>
      </w:r>
      <w:r w:rsidR="007C67F5" w:rsidRPr="00970C35">
        <w:rPr>
          <w:rFonts w:ascii="Times New Roman" w:hAnsi="Times New Roman" w:cs="Times New Roman"/>
        </w:rPr>
        <w:t xml:space="preserve">. </w:t>
      </w:r>
      <w:r w:rsidRPr="00970C35">
        <w:rPr>
          <w:rFonts w:ascii="Times New Roman" w:hAnsi="Times New Roman" w:cs="Times New Roman"/>
        </w:rPr>
        <w:t xml:space="preserve">The coefficients on firm-level variables are as expected, and that on GDP growth and GDP per capita is positive and negative, respectively. </w:t>
      </w:r>
      <w:r w:rsidR="002B3CB7" w:rsidRPr="00970C35">
        <w:rPr>
          <w:rFonts w:ascii="Times New Roman" w:hAnsi="Times New Roman" w:cs="Times New Roman"/>
        </w:rPr>
        <w:t>However,</w:t>
      </w:r>
      <w:r w:rsidRPr="00970C35">
        <w:rPr>
          <w:rFonts w:ascii="Times New Roman" w:hAnsi="Times New Roman" w:cs="Times New Roman"/>
        </w:rPr>
        <w:t xml:space="preserve"> we shall see in Table 5 that once we control for firm-level variables</w:t>
      </w:r>
      <w:r w:rsidR="002B3CB7" w:rsidRPr="00970C35">
        <w:rPr>
          <w:rFonts w:ascii="Times New Roman" w:hAnsi="Times New Roman" w:cs="Times New Roman"/>
        </w:rPr>
        <w:t>,</w:t>
      </w:r>
      <w:r w:rsidRPr="00970C35">
        <w:rPr>
          <w:rFonts w:ascii="Times New Roman" w:hAnsi="Times New Roman" w:cs="Times New Roman"/>
        </w:rPr>
        <w:t xml:space="preserve"> the coefficients on these two variables are largely positive but statistically insignifican</w:t>
      </w:r>
      <w:r w:rsidR="00354D8A" w:rsidRPr="00970C35">
        <w:rPr>
          <w:rFonts w:ascii="Times New Roman" w:hAnsi="Times New Roman" w:cs="Times New Roman"/>
        </w:rPr>
        <w:t xml:space="preserve">t. </w:t>
      </w:r>
    </w:p>
    <w:p w:rsidR="00821BD4" w:rsidRPr="00970C35" w:rsidRDefault="00821BD4" w:rsidP="001871E9">
      <w:pPr>
        <w:spacing w:after="0" w:line="480" w:lineRule="auto"/>
        <w:ind w:firstLine="288"/>
        <w:jc w:val="both"/>
        <w:rPr>
          <w:rFonts w:ascii="Times New Roman" w:hAnsi="Times New Roman" w:cs="Times New Roman"/>
        </w:rPr>
      </w:pPr>
      <w:r w:rsidRPr="00970C35">
        <w:rPr>
          <w:rFonts w:ascii="Times New Roman" w:hAnsi="Times New Roman" w:cs="Times New Roman"/>
        </w:rPr>
        <w:t xml:space="preserve">Next, we attempt to study how country characteristics affect firms’ </w:t>
      </w:r>
      <w:r w:rsidR="00546783" w:rsidRPr="00970C35">
        <w:rPr>
          <w:rFonts w:ascii="Times New Roman" w:hAnsi="Times New Roman" w:cs="Times New Roman"/>
        </w:rPr>
        <w:t xml:space="preserve">investment </w:t>
      </w:r>
      <w:r w:rsidRPr="00970C35">
        <w:rPr>
          <w:rFonts w:ascii="Times New Roman" w:hAnsi="Times New Roman" w:cs="Times New Roman"/>
        </w:rPr>
        <w:t>patterns in more detail. We investigate each category</w:t>
      </w:r>
      <w:r w:rsidR="002B3CB7" w:rsidRPr="00970C35">
        <w:rPr>
          <w:rFonts w:ascii="Times New Roman" w:hAnsi="Times New Roman" w:cs="Times New Roman"/>
        </w:rPr>
        <w:t>,</w:t>
      </w:r>
      <w:r w:rsidRPr="00970C35">
        <w:rPr>
          <w:rFonts w:ascii="Times New Roman" w:hAnsi="Times New Roman" w:cs="Times New Roman"/>
        </w:rPr>
        <w:t xml:space="preserve"> and include the firm-level characteristics and controls. In addition to the variables widely considered attributable to CapEx in the literature, we include change in cash holdings from the previous quarter, annual sales growth, lagged leverage, </w:t>
      </w:r>
      <w:r w:rsidR="00246320" w:rsidRPr="00970C35">
        <w:rPr>
          <w:rFonts w:ascii="Times New Roman" w:hAnsi="Times New Roman" w:cs="Times New Roman"/>
        </w:rPr>
        <w:t xml:space="preserve">implicit </w:t>
      </w:r>
      <w:r w:rsidRPr="00970C35">
        <w:rPr>
          <w:rFonts w:ascii="Times New Roman" w:hAnsi="Times New Roman" w:cs="Times New Roman"/>
        </w:rPr>
        <w:t xml:space="preserve">tax rate and its interaction with fourth quarter dummy, </w:t>
      </w:r>
      <w:r w:rsidR="00FB0C01" w:rsidRPr="00970C35">
        <w:rPr>
          <w:rFonts w:ascii="Times New Roman" w:hAnsi="Times New Roman" w:cs="Times New Roman"/>
        </w:rPr>
        <w:t>size rank</w:t>
      </w:r>
      <w:r w:rsidRPr="00970C35">
        <w:rPr>
          <w:rFonts w:ascii="Times New Roman" w:hAnsi="Times New Roman" w:cs="Times New Roman"/>
        </w:rPr>
        <w:t xml:space="preserve"> in the previous fiscal year, and its interaction with fourth quarter dummy. To avoid our results being driven by only one country, we also run the same regression excluding all U</w:t>
      </w:r>
      <w:r w:rsidR="002B3CB7" w:rsidRPr="00970C35">
        <w:rPr>
          <w:rFonts w:ascii="Times New Roman" w:hAnsi="Times New Roman" w:cs="Times New Roman"/>
        </w:rPr>
        <w:t>.</w:t>
      </w:r>
      <w:r w:rsidRPr="00970C35">
        <w:rPr>
          <w:rFonts w:ascii="Times New Roman" w:hAnsi="Times New Roman" w:cs="Times New Roman"/>
        </w:rPr>
        <w:t>S</w:t>
      </w:r>
      <w:r w:rsidR="002B3CB7" w:rsidRPr="00970C35">
        <w:rPr>
          <w:rFonts w:ascii="Times New Roman" w:hAnsi="Times New Roman" w:cs="Times New Roman"/>
        </w:rPr>
        <w:t>.</w:t>
      </w:r>
      <w:r w:rsidRPr="00970C35">
        <w:rPr>
          <w:rFonts w:ascii="Times New Roman" w:hAnsi="Times New Roman" w:cs="Times New Roman"/>
        </w:rPr>
        <w:t xml:space="preserve"> firms since U</w:t>
      </w:r>
      <w:r w:rsidR="002B3CB7" w:rsidRPr="00970C35">
        <w:rPr>
          <w:rFonts w:ascii="Times New Roman" w:hAnsi="Times New Roman" w:cs="Times New Roman"/>
        </w:rPr>
        <w:t>.</w:t>
      </w:r>
      <w:r w:rsidRPr="00970C35">
        <w:rPr>
          <w:rFonts w:ascii="Times New Roman" w:hAnsi="Times New Roman" w:cs="Times New Roman"/>
        </w:rPr>
        <w:t>S</w:t>
      </w:r>
      <w:r w:rsidR="002B3CB7" w:rsidRPr="00970C35">
        <w:rPr>
          <w:rFonts w:ascii="Times New Roman" w:hAnsi="Times New Roman" w:cs="Times New Roman"/>
        </w:rPr>
        <w:t>.</w:t>
      </w:r>
      <w:r w:rsidRPr="00970C35">
        <w:rPr>
          <w:rFonts w:ascii="Times New Roman" w:hAnsi="Times New Roman" w:cs="Times New Roman"/>
        </w:rPr>
        <w:t xml:space="preserve"> firms account for almost half of our sample. </w:t>
      </w:r>
      <w:r w:rsidR="00546783" w:rsidRPr="00970C35">
        <w:rPr>
          <w:rFonts w:ascii="Times New Roman" w:hAnsi="Times New Roman" w:cs="Times New Roman"/>
        </w:rPr>
        <w:t xml:space="preserve">We do not report the coefficients of controls such as calendar quarters because they are not our focus in this study, and they are not statistically or </w:t>
      </w:r>
      <w:r w:rsidR="00546783" w:rsidRPr="00970C35">
        <w:rPr>
          <w:rFonts w:ascii="Times New Roman" w:hAnsi="Times New Roman" w:cs="Times New Roman"/>
        </w:rPr>
        <w:lastRenderedPageBreak/>
        <w:t xml:space="preserve">economically significant. </w:t>
      </w:r>
      <w:r w:rsidR="002B3CB7" w:rsidRPr="00970C35">
        <w:rPr>
          <w:rFonts w:ascii="Times New Roman" w:hAnsi="Times New Roman" w:cs="Times New Roman"/>
        </w:rPr>
        <w:t xml:space="preserve">In </w:t>
      </w:r>
      <w:r w:rsidR="00246320" w:rsidRPr="00970C35">
        <w:rPr>
          <w:rFonts w:ascii="Times New Roman" w:hAnsi="Times New Roman" w:cs="Times New Roman"/>
        </w:rPr>
        <w:t>Table 5, o</w:t>
      </w:r>
      <w:r w:rsidRPr="00970C35">
        <w:rPr>
          <w:rFonts w:ascii="Times New Roman" w:hAnsi="Times New Roman" w:cs="Times New Roman"/>
        </w:rPr>
        <w:t xml:space="preserve">ne interesting change </w:t>
      </w:r>
      <w:r w:rsidR="002B3CB7" w:rsidRPr="00970C35">
        <w:rPr>
          <w:rFonts w:ascii="Times New Roman" w:hAnsi="Times New Roman" w:cs="Times New Roman"/>
        </w:rPr>
        <w:t xml:space="preserve">can be seen </w:t>
      </w:r>
      <w:r w:rsidRPr="00970C35">
        <w:rPr>
          <w:rFonts w:ascii="Times New Roman" w:hAnsi="Times New Roman" w:cs="Times New Roman"/>
        </w:rPr>
        <w:t>in the results</w:t>
      </w:r>
      <w:r w:rsidR="002B3CB7" w:rsidRPr="00970C35">
        <w:rPr>
          <w:rFonts w:ascii="Times New Roman" w:hAnsi="Times New Roman" w:cs="Times New Roman"/>
        </w:rPr>
        <w:t>:</w:t>
      </w:r>
      <w:r w:rsidRPr="00970C35">
        <w:rPr>
          <w:rFonts w:ascii="Times New Roman" w:hAnsi="Times New Roman" w:cs="Times New Roman"/>
        </w:rPr>
        <w:t xml:space="preserve"> once we control for firm-level variables, GDP per capita and GDP growth are not statistically significant anymore</w:t>
      </w:r>
      <w:r w:rsidR="002B3CB7" w:rsidRPr="00970C35">
        <w:rPr>
          <w:rFonts w:ascii="Times New Roman" w:hAnsi="Times New Roman" w:cs="Times New Roman"/>
        </w:rPr>
        <w:t>;</w:t>
      </w:r>
      <w:r w:rsidRPr="00970C35">
        <w:rPr>
          <w:rFonts w:ascii="Times New Roman" w:hAnsi="Times New Roman" w:cs="Times New Roman"/>
        </w:rPr>
        <w:t xml:space="preserve"> perhaps indicating that country-level economic growth is fully picked up by firm-level growth opportunities and other variables, which </w:t>
      </w:r>
      <w:r w:rsidR="002B3CB7" w:rsidRPr="00970C35">
        <w:rPr>
          <w:rFonts w:ascii="Times New Roman" w:hAnsi="Times New Roman" w:cs="Times New Roman"/>
        </w:rPr>
        <w:t>remain</w:t>
      </w:r>
      <w:r w:rsidRPr="00970C35">
        <w:rPr>
          <w:rFonts w:ascii="Times New Roman" w:hAnsi="Times New Roman" w:cs="Times New Roman"/>
        </w:rPr>
        <w:t xml:space="preserve"> statistically and economically significant.</w:t>
      </w:r>
    </w:p>
    <w:p w:rsidR="001871E9" w:rsidRPr="00970C35" w:rsidRDefault="002B3CB7" w:rsidP="001871E9">
      <w:pPr>
        <w:spacing w:after="240" w:line="480" w:lineRule="auto"/>
        <w:jc w:val="center"/>
        <w:rPr>
          <w:rFonts w:ascii="Times New Roman" w:hAnsi="Times New Roman" w:cs="Times New Roman"/>
          <w:szCs w:val="23"/>
        </w:rPr>
      </w:pPr>
      <w:r w:rsidRPr="00970C35">
        <w:rPr>
          <w:rFonts w:ascii="Times New Roman" w:hAnsi="Times New Roman" w:cs="Times New Roman"/>
          <w:szCs w:val="23"/>
        </w:rPr>
        <w:t>[</w:t>
      </w:r>
      <w:r w:rsidR="001871E9" w:rsidRPr="00970C35">
        <w:rPr>
          <w:rFonts w:ascii="Times New Roman" w:hAnsi="Times New Roman" w:cs="Times New Roman"/>
          <w:szCs w:val="23"/>
        </w:rPr>
        <w:t>Insert Table 5 here</w:t>
      </w:r>
      <w:r w:rsidRPr="00970C35">
        <w:rPr>
          <w:rFonts w:ascii="Times New Roman" w:hAnsi="Times New Roman" w:cs="Times New Roman"/>
          <w:szCs w:val="23"/>
        </w:rPr>
        <w:t>]</w:t>
      </w:r>
    </w:p>
    <w:p w:rsidR="00D75D64" w:rsidRPr="00970C35" w:rsidRDefault="00D75D64" w:rsidP="00D75D64">
      <w:pPr>
        <w:spacing w:after="0" w:line="480" w:lineRule="auto"/>
        <w:jc w:val="both"/>
        <w:rPr>
          <w:rFonts w:ascii="Times New Roman" w:hAnsi="Times New Roman" w:cs="Times New Roman"/>
        </w:rPr>
      </w:pPr>
      <w:r w:rsidRPr="00970C35">
        <w:rPr>
          <w:rFonts w:ascii="Times New Roman" w:hAnsi="Times New Roman" w:cs="Times New Roman"/>
        </w:rPr>
        <w:t>4.</w:t>
      </w:r>
      <w:r w:rsidR="005C0461" w:rsidRPr="00970C35">
        <w:rPr>
          <w:rFonts w:ascii="Times New Roman" w:hAnsi="Times New Roman" w:cs="Times New Roman"/>
        </w:rPr>
        <w:t>4</w:t>
      </w:r>
      <w:r w:rsidRPr="00970C35">
        <w:rPr>
          <w:rFonts w:ascii="Times New Roman" w:hAnsi="Times New Roman" w:cs="Times New Roman"/>
        </w:rPr>
        <w:t xml:space="preserve">.2. Investor </w:t>
      </w:r>
      <w:r w:rsidR="006269D6" w:rsidRPr="00970C35">
        <w:rPr>
          <w:rFonts w:ascii="Times New Roman" w:hAnsi="Times New Roman" w:cs="Times New Roman"/>
        </w:rPr>
        <w:t>R</w:t>
      </w:r>
      <w:r w:rsidRPr="00970C35">
        <w:rPr>
          <w:rFonts w:ascii="Times New Roman" w:hAnsi="Times New Roman" w:cs="Times New Roman"/>
        </w:rPr>
        <w:t xml:space="preserve">ights and </w:t>
      </w:r>
      <w:r w:rsidR="006269D6" w:rsidRPr="00970C35">
        <w:rPr>
          <w:rFonts w:ascii="Times New Roman" w:hAnsi="Times New Roman" w:cs="Times New Roman"/>
        </w:rPr>
        <w:t>P</w:t>
      </w:r>
      <w:r w:rsidRPr="00970C35">
        <w:rPr>
          <w:rFonts w:ascii="Times New Roman" w:hAnsi="Times New Roman" w:cs="Times New Roman"/>
        </w:rPr>
        <w:t>rotection</w:t>
      </w:r>
    </w:p>
    <w:p w:rsidR="00D75D64" w:rsidRPr="00970C35" w:rsidRDefault="00D75D64" w:rsidP="002831D3">
      <w:pPr>
        <w:autoSpaceDE w:val="0"/>
        <w:autoSpaceDN w:val="0"/>
        <w:adjustRightInd w:val="0"/>
        <w:spacing w:after="120" w:line="480" w:lineRule="auto"/>
        <w:jc w:val="both"/>
        <w:rPr>
          <w:rFonts w:ascii="Times New Roman" w:hAnsi="Times New Roman" w:cs="Times New Roman"/>
        </w:rPr>
      </w:pPr>
      <w:r w:rsidRPr="00970C35">
        <w:rPr>
          <w:rFonts w:ascii="Times New Roman" w:hAnsi="Times New Roman" w:cs="Times New Roman"/>
        </w:rPr>
        <w:t>Table 5 Panel A presents the results for cross-country analysis using investor rights and protection, again controlling for firm-level variables</w:t>
      </w:r>
      <w:r w:rsidR="002B3CB7" w:rsidRPr="00970C35">
        <w:rPr>
          <w:rFonts w:ascii="Times New Roman" w:hAnsi="Times New Roman" w:cs="Times New Roman"/>
        </w:rPr>
        <w:t>,</w:t>
      </w:r>
      <w:r w:rsidRPr="00970C35">
        <w:rPr>
          <w:rFonts w:ascii="Times New Roman" w:hAnsi="Times New Roman" w:cs="Times New Roman"/>
        </w:rPr>
        <w:t xml:space="preserve"> and GDP level and growth rate.</w:t>
      </w:r>
      <w:r w:rsidR="00546783" w:rsidRPr="00970C35">
        <w:rPr>
          <w:rFonts w:ascii="Times New Roman" w:hAnsi="Times New Roman" w:cs="Times New Roman"/>
        </w:rPr>
        <w:t xml:space="preserve"> The coefficients of all interaction terms have the signs that we expect</w:t>
      </w:r>
      <w:r w:rsidRPr="00970C35">
        <w:rPr>
          <w:rFonts w:ascii="Times New Roman" w:hAnsi="Times New Roman" w:cs="Times New Roman"/>
        </w:rPr>
        <w:t xml:space="preserve">. </w:t>
      </w:r>
      <w:r w:rsidR="00F91647" w:rsidRPr="00970C35">
        <w:rPr>
          <w:rFonts w:ascii="Times New Roman" w:hAnsi="Times New Roman" w:cs="Times New Roman"/>
        </w:rPr>
        <w:t>A</w:t>
      </w:r>
      <w:r w:rsidRPr="00970C35">
        <w:rPr>
          <w:rFonts w:ascii="Times New Roman" w:hAnsi="Times New Roman" w:cs="Times New Roman"/>
        </w:rPr>
        <w:t xml:space="preserve">mong the </w:t>
      </w:r>
      <w:r w:rsidR="00F91647" w:rsidRPr="00970C35">
        <w:rPr>
          <w:rFonts w:ascii="Times New Roman" w:hAnsi="Times New Roman" w:cs="Times New Roman"/>
        </w:rPr>
        <w:t>seven</w:t>
      </w:r>
      <w:r w:rsidRPr="00970C35">
        <w:rPr>
          <w:rFonts w:ascii="Times New Roman" w:hAnsi="Times New Roman" w:cs="Times New Roman"/>
        </w:rPr>
        <w:t xml:space="preserve"> proxies for investor rights and protection, </w:t>
      </w:r>
      <w:r w:rsidR="00F91647" w:rsidRPr="00970C35">
        <w:rPr>
          <w:rFonts w:ascii="Times New Roman" w:hAnsi="Times New Roman" w:cs="Times New Roman"/>
        </w:rPr>
        <w:t>five</w:t>
      </w:r>
      <w:r w:rsidRPr="00970C35">
        <w:rPr>
          <w:rFonts w:ascii="Times New Roman" w:hAnsi="Times New Roman" w:cs="Times New Roman"/>
        </w:rPr>
        <w:t xml:space="preserve"> are statistically significant at </w:t>
      </w:r>
      <w:r w:rsidR="003A7D27" w:rsidRPr="00970C35">
        <w:rPr>
          <w:rFonts w:ascii="Times New Roman" w:hAnsi="Times New Roman" w:cs="Times New Roman"/>
        </w:rPr>
        <w:t xml:space="preserve">the </w:t>
      </w:r>
      <w:r w:rsidRPr="00970C35">
        <w:rPr>
          <w:rFonts w:ascii="Times New Roman" w:hAnsi="Times New Roman" w:cs="Times New Roman"/>
        </w:rPr>
        <w:t xml:space="preserve">5% level or higher in both </w:t>
      </w:r>
      <w:r w:rsidR="003A7D27" w:rsidRPr="00970C35">
        <w:rPr>
          <w:rFonts w:ascii="Times New Roman" w:hAnsi="Times New Roman" w:cs="Times New Roman"/>
        </w:rPr>
        <w:t xml:space="preserve">the </w:t>
      </w:r>
      <w:r w:rsidRPr="00970C35">
        <w:rPr>
          <w:rFonts w:ascii="Times New Roman" w:hAnsi="Times New Roman" w:cs="Times New Roman"/>
        </w:rPr>
        <w:t>full sample and non-U</w:t>
      </w:r>
      <w:r w:rsidR="003A7D27" w:rsidRPr="00970C35">
        <w:rPr>
          <w:rFonts w:ascii="Times New Roman" w:hAnsi="Times New Roman" w:cs="Times New Roman"/>
        </w:rPr>
        <w:t>.</w:t>
      </w:r>
      <w:r w:rsidRPr="00970C35">
        <w:rPr>
          <w:rFonts w:ascii="Times New Roman" w:hAnsi="Times New Roman" w:cs="Times New Roman"/>
        </w:rPr>
        <w:t>S</w:t>
      </w:r>
      <w:r w:rsidR="003A7D27" w:rsidRPr="00970C35">
        <w:rPr>
          <w:rFonts w:ascii="Times New Roman" w:hAnsi="Times New Roman" w:cs="Times New Roman"/>
        </w:rPr>
        <w:t>.</w:t>
      </w:r>
      <w:r w:rsidRPr="00970C35">
        <w:rPr>
          <w:rFonts w:ascii="Times New Roman" w:hAnsi="Times New Roman" w:cs="Times New Roman"/>
        </w:rPr>
        <w:t xml:space="preserve"> subsample. For example, results in Column </w:t>
      </w:r>
      <w:r w:rsidR="00F91647" w:rsidRPr="00970C35">
        <w:rPr>
          <w:rFonts w:ascii="Times New Roman" w:hAnsi="Times New Roman" w:cs="Times New Roman"/>
        </w:rPr>
        <w:t>2</w:t>
      </w:r>
      <w:r w:rsidRPr="00970C35">
        <w:rPr>
          <w:rFonts w:ascii="Times New Roman" w:hAnsi="Times New Roman" w:cs="Times New Roman"/>
        </w:rPr>
        <w:t xml:space="preserve"> indicate that firms in countries with the lowest ranked anti-self-dealing index on average </w:t>
      </w:r>
      <w:r w:rsidR="00546783" w:rsidRPr="00970C35">
        <w:rPr>
          <w:rFonts w:ascii="Times New Roman" w:hAnsi="Times New Roman" w:cs="Times New Roman"/>
        </w:rPr>
        <w:t>invest more</w:t>
      </w:r>
      <w:r w:rsidR="00CD26FE" w:rsidRPr="00970C35">
        <w:rPr>
          <w:rFonts w:ascii="Times New Roman" w:hAnsi="Times New Roman" w:cs="Times New Roman"/>
        </w:rPr>
        <w:t xml:space="preserve"> in the fourth fiscal quarter</w:t>
      </w:r>
      <w:r w:rsidR="00546783" w:rsidRPr="00970C35">
        <w:rPr>
          <w:rFonts w:ascii="Times New Roman" w:hAnsi="Times New Roman" w:cs="Times New Roman"/>
        </w:rPr>
        <w:t xml:space="preserve"> </w:t>
      </w:r>
      <w:r w:rsidRPr="00970C35">
        <w:rPr>
          <w:rFonts w:ascii="Times New Roman" w:hAnsi="Times New Roman" w:cs="Times New Roman"/>
        </w:rPr>
        <w:t xml:space="preserve">by </w:t>
      </w:r>
      <w:r w:rsidR="00532F34" w:rsidRPr="00970C35">
        <w:rPr>
          <w:rFonts w:ascii="Times New Roman" w:hAnsi="Times New Roman" w:cs="Times New Roman"/>
        </w:rPr>
        <w:t>23</w:t>
      </w:r>
      <w:r w:rsidRPr="00970C35">
        <w:rPr>
          <w:rFonts w:ascii="Times New Roman" w:hAnsi="Times New Roman" w:cs="Times New Roman"/>
        </w:rPr>
        <w:t>%</w:t>
      </w:r>
      <w:r w:rsidR="00046BF5" w:rsidRPr="00970C35">
        <w:rPr>
          <w:rFonts w:ascii="Times New Roman" w:hAnsi="Times New Roman" w:cs="Times New Roman"/>
        </w:rPr>
        <w:t xml:space="preserve"> (0.</w:t>
      </w:r>
      <w:r w:rsidR="00532F34" w:rsidRPr="00970C35">
        <w:rPr>
          <w:rFonts w:ascii="Times New Roman" w:hAnsi="Times New Roman" w:cs="Times New Roman"/>
        </w:rPr>
        <w:t>307</w:t>
      </w:r>
      <w:r w:rsidR="00046BF5" w:rsidRPr="00970C35">
        <w:rPr>
          <w:rFonts w:ascii="Times New Roman" w:hAnsi="Times New Roman" w:cs="Times New Roman"/>
        </w:rPr>
        <w:t>/1.30)</w:t>
      </w:r>
      <w:r w:rsidRPr="00970C35">
        <w:rPr>
          <w:rFonts w:ascii="Times New Roman" w:hAnsi="Times New Roman" w:cs="Times New Roman"/>
        </w:rPr>
        <w:t xml:space="preserve"> to </w:t>
      </w:r>
      <w:r w:rsidR="00532F34" w:rsidRPr="00970C35">
        <w:rPr>
          <w:rFonts w:ascii="Times New Roman" w:hAnsi="Times New Roman" w:cs="Times New Roman"/>
        </w:rPr>
        <w:t>39</w:t>
      </w:r>
      <w:r w:rsidRPr="00970C35">
        <w:rPr>
          <w:rFonts w:ascii="Times New Roman" w:hAnsi="Times New Roman" w:cs="Times New Roman"/>
        </w:rPr>
        <w:t>%</w:t>
      </w:r>
      <w:r w:rsidR="00046BF5" w:rsidRPr="00970C35">
        <w:rPr>
          <w:rFonts w:ascii="Times New Roman" w:hAnsi="Times New Roman" w:cs="Times New Roman"/>
        </w:rPr>
        <w:t xml:space="preserve"> (0.</w:t>
      </w:r>
      <w:r w:rsidR="00532F34" w:rsidRPr="00970C35">
        <w:rPr>
          <w:rFonts w:ascii="Times New Roman" w:hAnsi="Times New Roman" w:cs="Times New Roman"/>
        </w:rPr>
        <w:t>307</w:t>
      </w:r>
      <w:r w:rsidR="00046BF5" w:rsidRPr="00970C35">
        <w:rPr>
          <w:rFonts w:ascii="Times New Roman" w:hAnsi="Times New Roman" w:cs="Times New Roman"/>
        </w:rPr>
        <w:t>/0.78)</w:t>
      </w:r>
      <w:r w:rsidRPr="00970C35">
        <w:rPr>
          <w:rFonts w:ascii="Times New Roman" w:hAnsi="Times New Roman" w:cs="Times New Roman"/>
        </w:rPr>
        <w:t xml:space="preserve"> relative to</w:t>
      </w:r>
      <w:r w:rsidR="003A7D27" w:rsidRPr="00970C35">
        <w:rPr>
          <w:rFonts w:ascii="Times New Roman" w:hAnsi="Times New Roman" w:cs="Times New Roman"/>
        </w:rPr>
        <w:t xml:space="preserve"> the</w:t>
      </w:r>
      <w:r w:rsidRPr="00970C35">
        <w:rPr>
          <w:rFonts w:ascii="Times New Roman" w:hAnsi="Times New Roman" w:cs="Times New Roman"/>
        </w:rPr>
        <w:t xml:space="preserve"> unconditional mean and median of CapEx, respectively</w:t>
      </w:r>
      <w:r w:rsidR="003A7D27" w:rsidRPr="00970C35">
        <w:rPr>
          <w:rFonts w:ascii="Times New Roman" w:hAnsi="Times New Roman" w:cs="Times New Roman"/>
        </w:rPr>
        <w:t>;</w:t>
      </w:r>
      <w:r w:rsidR="00046BF5" w:rsidRPr="00970C35">
        <w:rPr>
          <w:rStyle w:val="ac"/>
          <w:rFonts w:ascii="Times New Roman" w:hAnsi="Times New Roman" w:cs="Times New Roman"/>
        </w:rPr>
        <w:footnoteReference w:id="11"/>
      </w:r>
      <w:r w:rsidRPr="00970C35">
        <w:rPr>
          <w:rFonts w:ascii="Times New Roman" w:hAnsi="Times New Roman" w:cs="Times New Roman"/>
        </w:rPr>
        <w:t xml:space="preserve"> </w:t>
      </w:r>
      <w:r w:rsidR="003A7D27" w:rsidRPr="00970C35">
        <w:rPr>
          <w:rFonts w:ascii="Times New Roman" w:hAnsi="Times New Roman" w:cs="Times New Roman"/>
        </w:rPr>
        <w:t>however,</w:t>
      </w:r>
      <w:r w:rsidRPr="00970C35">
        <w:rPr>
          <w:rFonts w:ascii="Times New Roman" w:hAnsi="Times New Roman" w:cs="Times New Roman"/>
        </w:rPr>
        <w:t xml:space="preserve"> one standard deviation of increase in </w:t>
      </w:r>
      <w:r w:rsidR="003A7D27" w:rsidRPr="00970C35">
        <w:rPr>
          <w:rFonts w:ascii="Times New Roman" w:hAnsi="Times New Roman" w:cs="Times New Roman"/>
        </w:rPr>
        <w:t xml:space="preserve">the </w:t>
      </w:r>
      <w:r w:rsidRPr="00970C35">
        <w:rPr>
          <w:rFonts w:ascii="Times New Roman" w:hAnsi="Times New Roman" w:cs="Times New Roman"/>
        </w:rPr>
        <w:t xml:space="preserve">anti-self-dealing index reverses this effect by </w:t>
      </w:r>
      <w:r w:rsidR="00532F34" w:rsidRPr="00970C35">
        <w:rPr>
          <w:rFonts w:ascii="Times New Roman" w:hAnsi="Times New Roman" w:cs="Times New Roman"/>
        </w:rPr>
        <w:t>18</w:t>
      </w:r>
      <w:r w:rsidRPr="00970C35">
        <w:rPr>
          <w:rFonts w:ascii="Times New Roman" w:hAnsi="Times New Roman" w:cs="Times New Roman"/>
        </w:rPr>
        <w:t>%</w:t>
      </w:r>
      <w:r w:rsidR="00046BF5" w:rsidRPr="00970C35">
        <w:rPr>
          <w:rFonts w:ascii="Times New Roman" w:hAnsi="Times New Roman" w:cs="Times New Roman"/>
        </w:rPr>
        <w:t xml:space="preserve"> (-0.2</w:t>
      </w:r>
      <w:r w:rsidR="00532F34" w:rsidRPr="00970C35">
        <w:rPr>
          <w:rFonts w:ascii="Times New Roman" w:hAnsi="Times New Roman" w:cs="Times New Roman"/>
        </w:rPr>
        <w:t>65</w:t>
      </w:r>
      <w:r w:rsidR="00046BF5" w:rsidRPr="00970C35">
        <w:rPr>
          <w:rFonts w:ascii="Times New Roman" w:hAnsi="Times New Roman" w:cs="Times New Roman"/>
        </w:rPr>
        <w:t>*0.20</w:t>
      </w:r>
      <w:r w:rsidR="00532F34" w:rsidRPr="00970C35">
        <w:rPr>
          <w:rFonts w:ascii="Times New Roman" w:hAnsi="Times New Roman" w:cs="Times New Roman"/>
        </w:rPr>
        <w:t>3</w:t>
      </w:r>
      <w:r w:rsidR="00046BF5" w:rsidRPr="00970C35">
        <w:rPr>
          <w:rFonts w:ascii="Times New Roman" w:hAnsi="Times New Roman" w:cs="Times New Roman"/>
        </w:rPr>
        <w:t>/0.</w:t>
      </w:r>
      <w:r w:rsidR="00532F34" w:rsidRPr="00970C35">
        <w:rPr>
          <w:rFonts w:ascii="Times New Roman" w:hAnsi="Times New Roman" w:cs="Times New Roman"/>
        </w:rPr>
        <w:t>307</w:t>
      </w:r>
      <w:r w:rsidR="00046BF5" w:rsidRPr="00970C35">
        <w:rPr>
          <w:rFonts w:ascii="Times New Roman" w:hAnsi="Times New Roman" w:cs="Times New Roman"/>
        </w:rPr>
        <w:t>)</w:t>
      </w:r>
      <w:r w:rsidR="00046BF5" w:rsidRPr="00970C35">
        <w:rPr>
          <w:rStyle w:val="ac"/>
          <w:rFonts w:ascii="Times New Roman" w:hAnsi="Times New Roman" w:cs="Times New Roman"/>
        </w:rPr>
        <w:t xml:space="preserve"> </w:t>
      </w:r>
      <w:r w:rsidR="00046BF5" w:rsidRPr="00970C35">
        <w:rPr>
          <w:rStyle w:val="ac"/>
          <w:rFonts w:ascii="Times New Roman" w:hAnsi="Times New Roman" w:cs="Times New Roman"/>
        </w:rPr>
        <w:footnoteReference w:id="12"/>
      </w:r>
      <w:r w:rsidRPr="00970C35">
        <w:rPr>
          <w:rFonts w:ascii="Times New Roman" w:hAnsi="Times New Roman" w:cs="Times New Roman"/>
        </w:rPr>
        <w:t xml:space="preserve">. </w:t>
      </w:r>
      <w:r w:rsidR="00CD26FE" w:rsidRPr="00970C35">
        <w:rPr>
          <w:rFonts w:ascii="Times New Roman" w:hAnsi="Times New Roman" w:cs="Times New Roman"/>
        </w:rPr>
        <w:t>Similarly, f</w:t>
      </w:r>
      <w:r w:rsidR="009B3F41" w:rsidRPr="00970C35">
        <w:rPr>
          <w:rFonts w:ascii="Times New Roman" w:hAnsi="Times New Roman" w:cs="Times New Roman"/>
        </w:rPr>
        <w:t xml:space="preserve">irms from countries with </w:t>
      </w:r>
      <w:r w:rsidR="003A7D27" w:rsidRPr="00970C35">
        <w:rPr>
          <w:rFonts w:ascii="Times New Roman" w:hAnsi="Times New Roman" w:cs="Times New Roman"/>
        </w:rPr>
        <w:t xml:space="preserve">a </w:t>
      </w:r>
      <w:r w:rsidR="009B3F41" w:rsidRPr="00970C35">
        <w:rPr>
          <w:rFonts w:ascii="Times New Roman" w:hAnsi="Times New Roman" w:cs="Times New Roman"/>
        </w:rPr>
        <w:t xml:space="preserve">non-English legal origin on average </w:t>
      </w:r>
      <w:r w:rsidR="00CD26FE" w:rsidRPr="00970C35">
        <w:rPr>
          <w:rFonts w:ascii="Times New Roman" w:hAnsi="Times New Roman" w:cs="Times New Roman"/>
        </w:rPr>
        <w:t>invest more</w:t>
      </w:r>
      <w:r w:rsidR="009B3F41" w:rsidRPr="00970C35">
        <w:rPr>
          <w:rFonts w:ascii="Times New Roman" w:hAnsi="Times New Roman" w:cs="Times New Roman"/>
        </w:rPr>
        <w:t xml:space="preserve"> in the fourth quarter by </w:t>
      </w:r>
      <w:r w:rsidR="00532F34" w:rsidRPr="00970C35">
        <w:rPr>
          <w:rFonts w:ascii="Times New Roman" w:hAnsi="Times New Roman" w:cs="Times New Roman"/>
        </w:rPr>
        <w:t>18</w:t>
      </w:r>
      <w:r w:rsidR="009B3F41" w:rsidRPr="00970C35">
        <w:rPr>
          <w:rFonts w:ascii="Times New Roman" w:hAnsi="Times New Roman" w:cs="Times New Roman"/>
        </w:rPr>
        <w:t xml:space="preserve">% </w:t>
      </w:r>
      <w:r w:rsidR="00CD26FE" w:rsidRPr="00970C35">
        <w:rPr>
          <w:rFonts w:ascii="Times New Roman" w:hAnsi="Times New Roman" w:cs="Times New Roman"/>
        </w:rPr>
        <w:t>(0.</w:t>
      </w:r>
      <w:r w:rsidR="00532F34" w:rsidRPr="00970C35">
        <w:rPr>
          <w:rFonts w:ascii="Times New Roman" w:hAnsi="Times New Roman" w:cs="Times New Roman"/>
        </w:rPr>
        <w:t>237</w:t>
      </w:r>
      <w:r w:rsidR="00CD26FE" w:rsidRPr="00970C35">
        <w:rPr>
          <w:rFonts w:ascii="Times New Roman" w:hAnsi="Times New Roman" w:cs="Times New Roman"/>
        </w:rPr>
        <w:t xml:space="preserve">/1.30) and </w:t>
      </w:r>
      <w:r w:rsidR="00532F34" w:rsidRPr="00970C35">
        <w:rPr>
          <w:rFonts w:ascii="Times New Roman" w:hAnsi="Times New Roman" w:cs="Times New Roman"/>
        </w:rPr>
        <w:t>30</w:t>
      </w:r>
      <w:r w:rsidR="009B3F41" w:rsidRPr="00970C35">
        <w:rPr>
          <w:rFonts w:ascii="Times New Roman" w:hAnsi="Times New Roman" w:cs="Times New Roman"/>
        </w:rPr>
        <w:t>%</w:t>
      </w:r>
      <w:r w:rsidR="00CD26FE" w:rsidRPr="00970C35">
        <w:rPr>
          <w:rFonts w:ascii="Times New Roman" w:hAnsi="Times New Roman" w:cs="Times New Roman"/>
        </w:rPr>
        <w:t xml:space="preserve"> (0.</w:t>
      </w:r>
      <w:r w:rsidR="00532F34" w:rsidRPr="00970C35">
        <w:rPr>
          <w:rFonts w:ascii="Times New Roman" w:hAnsi="Times New Roman" w:cs="Times New Roman"/>
        </w:rPr>
        <w:t>237</w:t>
      </w:r>
      <w:r w:rsidR="00CD26FE" w:rsidRPr="00970C35">
        <w:rPr>
          <w:rFonts w:ascii="Times New Roman" w:hAnsi="Times New Roman" w:cs="Times New Roman"/>
        </w:rPr>
        <w:t>/0.78</w:t>
      </w:r>
      <w:r w:rsidR="009B3F41" w:rsidRPr="00970C35">
        <w:rPr>
          <w:rFonts w:ascii="Times New Roman" w:hAnsi="Times New Roman" w:cs="Times New Roman"/>
        </w:rPr>
        <w:t xml:space="preserve">) relative to </w:t>
      </w:r>
      <w:r w:rsidR="003A7D27" w:rsidRPr="00970C35">
        <w:rPr>
          <w:rFonts w:ascii="Times New Roman" w:hAnsi="Times New Roman" w:cs="Times New Roman"/>
        </w:rPr>
        <w:t xml:space="preserve">the </w:t>
      </w:r>
      <w:r w:rsidR="009B3F41" w:rsidRPr="00970C35">
        <w:rPr>
          <w:rFonts w:ascii="Times New Roman" w:hAnsi="Times New Roman" w:cs="Times New Roman"/>
        </w:rPr>
        <w:t xml:space="preserve">unconditional mean </w:t>
      </w:r>
      <w:r w:rsidR="00CD26FE" w:rsidRPr="00970C35">
        <w:rPr>
          <w:rFonts w:ascii="Times New Roman" w:hAnsi="Times New Roman" w:cs="Times New Roman"/>
        </w:rPr>
        <w:t xml:space="preserve">and </w:t>
      </w:r>
      <w:r w:rsidR="009B3F41" w:rsidRPr="00970C35">
        <w:rPr>
          <w:rFonts w:ascii="Times New Roman" w:hAnsi="Times New Roman" w:cs="Times New Roman"/>
        </w:rPr>
        <w:t>median of CapEx</w:t>
      </w:r>
      <w:r w:rsidR="00CD26FE" w:rsidRPr="00970C35">
        <w:rPr>
          <w:rFonts w:ascii="Times New Roman" w:hAnsi="Times New Roman" w:cs="Times New Roman"/>
        </w:rPr>
        <w:t>, respectively</w:t>
      </w:r>
      <w:r w:rsidR="009B3F41" w:rsidRPr="00970C35">
        <w:rPr>
          <w:rFonts w:ascii="Times New Roman" w:hAnsi="Times New Roman" w:cs="Times New Roman"/>
        </w:rPr>
        <w:t xml:space="preserve">. However, firms from countries with </w:t>
      </w:r>
      <w:r w:rsidR="003A7D27" w:rsidRPr="00970C35">
        <w:rPr>
          <w:rFonts w:ascii="Times New Roman" w:hAnsi="Times New Roman" w:cs="Times New Roman"/>
        </w:rPr>
        <w:t xml:space="preserve">an </w:t>
      </w:r>
      <w:r w:rsidR="009B3F41" w:rsidRPr="00970C35">
        <w:rPr>
          <w:rFonts w:ascii="Times New Roman" w:hAnsi="Times New Roman" w:cs="Times New Roman"/>
        </w:rPr>
        <w:t>English legal origin on avera</w:t>
      </w:r>
      <w:r w:rsidR="00362405" w:rsidRPr="00970C35">
        <w:rPr>
          <w:rFonts w:ascii="Times New Roman" w:hAnsi="Times New Roman" w:cs="Times New Roman"/>
        </w:rPr>
        <w:t xml:space="preserve">ge reversed </w:t>
      </w:r>
      <w:r w:rsidR="00532F34" w:rsidRPr="00970C35">
        <w:rPr>
          <w:rFonts w:ascii="Times New Roman" w:hAnsi="Times New Roman" w:cs="Times New Roman"/>
        </w:rPr>
        <w:t>57</w:t>
      </w:r>
      <w:r w:rsidR="00362405" w:rsidRPr="00970C35">
        <w:rPr>
          <w:rFonts w:ascii="Times New Roman" w:hAnsi="Times New Roman" w:cs="Times New Roman"/>
        </w:rPr>
        <w:t>% of that (-0.</w:t>
      </w:r>
      <w:r w:rsidR="00532F34" w:rsidRPr="00970C35">
        <w:rPr>
          <w:rFonts w:ascii="Times New Roman" w:hAnsi="Times New Roman" w:cs="Times New Roman"/>
        </w:rPr>
        <w:t>136</w:t>
      </w:r>
      <w:r w:rsidR="009B3F41" w:rsidRPr="00970C35">
        <w:rPr>
          <w:rFonts w:ascii="Times New Roman" w:hAnsi="Times New Roman" w:cs="Times New Roman"/>
        </w:rPr>
        <w:t>/0.</w:t>
      </w:r>
      <w:r w:rsidR="00532F34" w:rsidRPr="00970C35">
        <w:rPr>
          <w:rFonts w:ascii="Times New Roman" w:hAnsi="Times New Roman" w:cs="Times New Roman"/>
        </w:rPr>
        <w:t>237</w:t>
      </w:r>
      <w:r w:rsidR="009B3F41" w:rsidRPr="00970C35">
        <w:rPr>
          <w:rFonts w:ascii="Times New Roman" w:hAnsi="Times New Roman" w:cs="Times New Roman"/>
        </w:rPr>
        <w:t xml:space="preserve">). </w:t>
      </w:r>
      <w:r w:rsidR="00CD26FE" w:rsidRPr="00970C35">
        <w:rPr>
          <w:rFonts w:ascii="Times New Roman" w:hAnsi="Times New Roman" w:cs="Times New Roman"/>
        </w:rPr>
        <w:t>It is also worth mention</w:t>
      </w:r>
      <w:r w:rsidR="003A7D27" w:rsidRPr="00970C35">
        <w:rPr>
          <w:rFonts w:ascii="Times New Roman" w:hAnsi="Times New Roman" w:cs="Times New Roman"/>
        </w:rPr>
        <w:t>ing</w:t>
      </w:r>
      <w:r w:rsidR="00CD26FE" w:rsidRPr="00970C35">
        <w:rPr>
          <w:rFonts w:ascii="Times New Roman" w:hAnsi="Times New Roman" w:cs="Times New Roman"/>
        </w:rPr>
        <w:t xml:space="preserve"> </w:t>
      </w:r>
      <w:r w:rsidR="003D0CAB" w:rsidRPr="00970C35">
        <w:rPr>
          <w:rFonts w:ascii="Times New Roman" w:hAnsi="Times New Roman" w:cs="Times New Roman"/>
        </w:rPr>
        <w:t>that since we include</w:t>
      </w:r>
      <w:r w:rsidR="009B3F41" w:rsidRPr="00970C35">
        <w:rPr>
          <w:rFonts w:ascii="Times New Roman" w:hAnsi="Times New Roman" w:cs="Times New Roman"/>
        </w:rPr>
        <w:t xml:space="preserve"> firm fixed effect, some country variables such as anti-director rights index are subsumed as they are time-invariant, but not for time-varying variables such as the rule-of-law index. Overall, t</w:t>
      </w:r>
      <w:r w:rsidRPr="00970C35">
        <w:rPr>
          <w:rFonts w:ascii="Times New Roman" w:hAnsi="Times New Roman" w:cs="Times New Roman"/>
        </w:rPr>
        <w:t>hese results are consistent with the evidence in the law and finance literature in that investor protection</w:t>
      </w:r>
      <w:r w:rsidR="003A7D27" w:rsidRPr="00970C35">
        <w:rPr>
          <w:rFonts w:ascii="Times New Roman" w:hAnsi="Times New Roman" w:cs="Times New Roman"/>
        </w:rPr>
        <w:t>,</w:t>
      </w:r>
      <w:r w:rsidRPr="00970C35">
        <w:rPr>
          <w:rFonts w:ascii="Times New Roman" w:hAnsi="Times New Roman" w:cs="Times New Roman"/>
        </w:rPr>
        <w:t xml:space="preserve"> in general</w:t>
      </w:r>
      <w:r w:rsidR="003A7D27" w:rsidRPr="00970C35">
        <w:rPr>
          <w:rFonts w:ascii="Times New Roman" w:hAnsi="Times New Roman" w:cs="Times New Roman"/>
        </w:rPr>
        <w:t>,</w:t>
      </w:r>
      <w:r w:rsidRPr="00970C35">
        <w:rPr>
          <w:rFonts w:ascii="Times New Roman" w:hAnsi="Times New Roman" w:cs="Times New Roman"/>
        </w:rPr>
        <w:t xml:space="preserve"> reduces manager’s wasteful spending or empire</w:t>
      </w:r>
      <w:r w:rsidR="003A7D27" w:rsidRPr="00970C35">
        <w:rPr>
          <w:rFonts w:ascii="Times New Roman" w:hAnsi="Times New Roman" w:cs="Times New Roman"/>
        </w:rPr>
        <w:t>-</w:t>
      </w:r>
      <w:r w:rsidRPr="00970C35">
        <w:rPr>
          <w:rFonts w:ascii="Times New Roman" w:hAnsi="Times New Roman" w:cs="Times New Roman"/>
        </w:rPr>
        <w:t>building</w:t>
      </w:r>
      <w:r w:rsidR="003A7D27" w:rsidRPr="00970C35">
        <w:rPr>
          <w:rFonts w:ascii="Times New Roman" w:hAnsi="Times New Roman" w:cs="Times New Roman"/>
        </w:rPr>
        <w:t xml:space="preserve"> desire</w:t>
      </w:r>
      <w:r w:rsidRPr="00970C35">
        <w:rPr>
          <w:rFonts w:ascii="Times New Roman" w:hAnsi="Times New Roman" w:cs="Times New Roman"/>
        </w:rPr>
        <w:t xml:space="preserve">. Our results imply that higher levels of investor rights and protection seem to benefit investors in a specific way: it reduces the </w:t>
      </w:r>
      <w:r w:rsidRPr="00970C35">
        <w:rPr>
          <w:rFonts w:ascii="Times New Roman" w:hAnsi="Times New Roman" w:cs="Times New Roman"/>
        </w:rPr>
        <w:lastRenderedPageBreak/>
        <w:t>“fourth quarter effect” in firms’ investment, which is considered a manifestation of inefficient capital allocation and spending.</w:t>
      </w:r>
      <w:r w:rsidR="00F91647" w:rsidRPr="00970C35">
        <w:rPr>
          <w:rFonts w:ascii="Times New Roman" w:hAnsi="Times New Roman" w:cs="Times New Roman"/>
        </w:rPr>
        <w:t xml:space="preserve"> </w:t>
      </w:r>
    </w:p>
    <w:p w:rsidR="00D75D64" w:rsidRPr="00970C35" w:rsidRDefault="00D75D64" w:rsidP="00D75D64">
      <w:pPr>
        <w:autoSpaceDE w:val="0"/>
        <w:autoSpaceDN w:val="0"/>
        <w:adjustRightInd w:val="0"/>
        <w:spacing w:after="0" w:line="480" w:lineRule="auto"/>
        <w:jc w:val="both"/>
        <w:rPr>
          <w:rFonts w:ascii="Times New Roman" w:hAnsi="Times New Roman" w:cs="Times New Roman"/>
        </w:rPr>
      </w:pPr>
      <w:r w:rsidRPr="00970C35">
        <w:rPr>
          <w:rFonts w:ascii="Times New Roman" w:hAnsi="Times New Roman" w:cs="Times New Roman"/>
        </w:rPr>
        <w:t>4.</w:t>
      </w:r>
      <w:r w:rsidR="005C0461" w:rsidRPr="00970C35">
        <w:rPr>
          <w:rFonts w:ascii="Times New Roman" w:hAnsi="Times New Roman" w:cs="Times New Roman"/>
        </w:rPr>
        <w:t>4</w:t>
      </w:r>
      <w:r w:rsidRPr="00970C35">
        <w:rPr>
          <w:rFonts w:ascii="Times New Roman" w:hAnsi="Times New Roman" w:cs="Times New Roman"/>
        </w:rPr>
        <w:t xml:space="preserve">.3. Financial </w:t>
      </w:r>
      <w:r w:rsidR="006269D6" w:rsidRPr="00970C35">
        <w:rPr>
          <w:rFonts w:ascii="Times New Roman" w:hAnsi="Times New Roman" w:cs="Times New Roman"/>
        </w:rPr>
        <w:t>M</w:t>
      </w:r>
      <w:r w:rsidRPr="00970C35">
        <w:rPr>
          <w:rFonts w:ascii="Times New Roman" w:hAnsi="Times New Roman" w:cs="Times New Roman"/>
        </w:rPr>
        <w:t xml:space="preserve">arkets </w:t>
      </w:r>
      <w:r w:rsidR="006269D6" w:rsidRPr="00970C35">
        <w:rPr>
          <w:rFonts w:ascii="Times New Roman" w:hAnsi="Times New Roman" w:cs="Times New Roman"/>
        </w:rPr>
        <w:t>D</w:t>
      </w:r>
      <w:r w:rsidRPr="00970C35">
        <w:rPr>
          <w:rFonts w:ascii="Times New Roman" w:hAnsi="Times New Roman" w:cs="Times New Roman"/>
        </w:rPr>
        <w:t>evelopment</w:t>
      </w:r>
    </w:p>
    <w:p w:rsidR="00D75D64" w:rsidRPr="00970C35" w:rsidRDefault="00D75D64" w:rsidP="00543A8D">
      <w:pPr>
        <w:autoSpaceDE w:val="0"/>
        <w:autoSpaceDN w:val="0"/>
        <w:adjustRightInd w:val="0"/>
        <w:spacing w:after="120" w:line="480" w:lineRule="auto"/>
        <w:jc w:val="both"/>
        <w:rPr>
          <w:rFonts w:ascii="Times New Roman" w:hAnsi="Times New Roman" w:cs="Times New Roman"/>
        </w:rPr>
      </w:pPr>
      <w:r w:rsidRPr="00970C35">
        <w:rPr>
          <w:rFonts w:ascii="Times New Roman" w:hAnsi="Times New Roman" w:cs="Times New Roman"/>
        </w:rPr>
        <w:t xml:space="preserve">We report cross-country results on the influence of </w:t>
      </w:r>
      <w:r w:rsidR="00543A8D" w:rsidRPr="00970C35">
        <w:rPr>
          <w:rFonts w:ascii="Times New Roman" w:hAnsi="Times New Roman" w:cs="Times New Roman"/>
        </w:rPr>
        <w:t>financial market development</w:t>
      </w:r>
      <w:r w:rsidRPr="00970C35">
        <w:rPr>
          <w:rFonts w:ascii="Times New Roman" w:hAnsi="Times New Roman" w:cs="Times New Roman"/>
        </w:rPr>
        <w:t xml:space="preserve"> on the </w:t>
      </w:r>
      <w:r w:rsidR="003A7D27" w:rsidRPr="00970C35">
        <w:rPr>
          <w:rFonts w:ascii="Times New Roman" w:hAnsi="Times New Roman" w:cs="Times New Roman"/>
        </w:rPr>
        <w:t>“</w:t>
      </w:r>
      <w:r w:rsidRPr="00970C35">
        <w:rPr>
          <w:rFonts w:ascii="Times New Roman" w:hAnsi="Times New Roman" w:cs="Times New Roman"/>
        </w:rPr>
        <w:t>fourth quarter effect</w:t>
      </w:r>
      <w:r w:rsidR="003A7D27" w:rsidRPr="00970C35">
        <w:rPr>
          <w:rFonts w:ascii="Times New Roman" w:hAnsi="Times New Roman" w:cs="Times New Roman"/>
        </w:rPr>
        <w:t>”</w:t>
      </w:r>
      <w:r w:rsidRPr="00970C35">
        <w:rPr>
          <w:rFonts w:ascii="Times New Roman" w:hAnsi="Times New Roman" w:cs="Times New Roman"/>
        </w:rPr>
        <w:t xml:space="preserve"> in Table 5 Panel </w:t>
      </w:r>
      <w:r w:rsidR="00543A8D" w:rsidRPr="00970C35">
        <w:rPr>
          <w:rFonts w:ascii="Times New Roman" w:hAnsi="Times New Roman" w:cs="Times New Roman"/>
        </w:rPr>
        <w:t>B</w:t>
      </w:r>
      <w:r w:rsidRPr="00970C35">
        <w:rPr>
          <w:rFonts w:ascii="Times New Roman" w:hAnsi="Times New Roman" w:cs="Times New Roman"/>
        </w:rPr>
        <w:t xml:space="preserve">. For all of the four measures of financial markets development, </w:t>
      </w:r>
      <w:r w:rsidR="00543A8D" w:rsidRPr="00970C35">
        <w:rPr>
          <w:rFonts w:ascii="Times New Roman" w:hAnsi="Times New Roman" w:cs="Times New Roman"/>
        </w:rPr>
        <w:t xml:space="preserve">the coefficients on </w:t>
      </w:r>
      <w:r w:rsidRPr="00970C35">
        <w:rPr>
          <w:rFonts w:ascii="Times New Roman" w:hAnsi="Times New Roman" w:cs="Times New Roman"/>
        </w:rPr>
        <w:t>their interaction with the fourth quarter dummy are negativ</w:t>
      </w:r>
      <w:r w:rsidR="003A7D27" w:rsidRPr="00970C35">
        <w:rPr>
          <w:rFonts w:ascii="Times New Roman" w:hAnsi="Times New Roman" w:cs="Times New Roman"/>
        </w:rPr>
        <w:t>e and statistically significant. This is an indication that</w:t>
      </w:r>
      <w:r w:rsidRPr="00970C35">
        <w:rPr>
          <w:rFonts w:ascii="Times New Roman" w:hAnsi="Times New Roman" w:cs="Times New Roman"/>
        </w:rPr>
        <w:t xml:space="preserve"> a more developed financial market, and thus </w:t>
      </w:r>
      <w:r w:rsidR="00543A8D" w:rsidRPr="00970C35">
        <w:rPr>
          <w:rFonts w:ascii="Times New Roman" w:hAnsi="Times New Roman" w:cs="Times New Roman"/>
        </w:rPr>
        <w:t>more efficient capital allocation</w:t>
      </w:r>
      <w:r w:rsidRPr="00970C35">
        <w:rPr>
          <w:rFonts w:ascii="Times New Roman" w:hAnsi="Times New Roman" w:cs="Times New Roman"/>
        </w:rPr>
        <w:t xml:space="preserve">, can alleviate the </w:t>
      </w:r>
      <w:r w:rsidR="003A7D27" w:rsidRPr="00970C35">
        <w:rPr>
          <w:rFonts w:ascii="Times New Roman" w:hAnsi="Times New Roman" w:cs="Times New Roman"/>
        </w:rPr>
        <w:t>“</w:t>
      </w:r>
      <w:r w:rsidRPr="00970C35">
        <w:rPr>
          <w:rFonts w:ascii="Times New Roman" w:hAnsi="Times New Roman" w:cs="Times New Roman"/>
        </w:rPr>
        <w:t>fourth quarter effect</w:t>
      </w:r>
      <w:r w:rsidR="003A7D27" w:rsidRPr="00970C35">
        <w:rPr>
          <w:rFonts w:ascii="Times New Roman" w:hAnsi="Times New Roman" w:cs="Times New Roman"/>
        </w:rPr>
        <w:t>”</w:t>
      </w:r>
      <w:r w:rsidRPr="00970C35">
        <w:rPr>
          <w:rFonts w:ascii="Times New Roman" w:hAnsi="Times New Roman" w:cs="Times New Roman"/>
        </w:rPr>
        <w:t xml:space="preserve"> and reduce potentially wasteful over-spending</w:t>
      </w:r>
      <w:r w:rsidR="00543A8D" w:rsidRPr="00970C35">
        <w:rPr>
          <w:rFonts w:ascii="Times New Roman" w:hAnsi="Times New Roman" w:cs="Times New Roman"/>
        </w:rPr>
        <w:t xml:space="preserve"> in the fourth fiscal quarter</w:t>
      </w:r>
      <w:r w:rsidRPr="00970C35">
        <w:rPr>
          <w:rFonts w:ascii="Times New Roman" w:hAnsi="Times New Roman" w:cs="Times New Roman"/>
        </w:rPr>
        <w:t xml:space="preserve">. For example, Column </w:t>
      </w:r>
      <w:r w:rsidR="00543A8D" w:rsidRPr="00970C35">
        <w:rPr>
          <w:rFonts w:ascii="Times New Roman" w:hAnsi="Times New Roman" w:cs="Times New Roman"/>
        </w:rPr>
        <w:t>3</w:t>
      </w:r>
      <w:r w:rsidRPr="00970C35">
        <w:rPr>
          <w:rFonts w:ascii="Times New Roman" w:hAnsi="Times New Roman" w:cs="Times New Roman"/>
        </w:rPr>
        <w:t xml:space="preserve"> suggests that firms from countries with the least financial markets development on average outspend in the fourth quarter by around </w:t>
      </w:r>
      <w:r w:rsidR="00532F34" w:rsidRPr="00970C35">
        <w:rPr>
          <w:rFonts w:ascii="Times New Roman" w:hAnsi="Times New Roman" w:cs="Times New Roman"/>
        </w:rPr>
        <w:t>20</w:t>
      </w:r>
      <w:r w:rsidRPr="00970C35">
        <w:rPr>
          <w:rFonts w:ascii="Times New Roman" w:hAnsi="Times New Roman" w:cs="Times New Roman"/>
        </w:rPr>
        <w:t>%</w:t>
      </w:r>
      <w:r w:rsidR="00532F34" w:rsidRPr="00970C35">
        <w:rPr>
          <w:rFonts w:ascii="Times New Roman" w:hAnsi="Times New Roman" w:cs="Times New Roman"/>
        </w:rPr>
        <w:t xml:space="preserve"> (0.268/1.30)</w:t>
      </w:r>
      <w:r w:rsidRPr="00970C35">
        <w:rPr>
          <w:rFonts w:ascii="Times New Roman" w:hAnsi="Times New Roman" w:cs="Times New Roman"/>
        </w:rPr>
        <w:t xml:space="preserve">, and one standard deviation of increase in financial markets development reverses </w:t>
      </w:r>
      <w:r w:rsidR="00532F34" w:rsidRPr="00970C35">
        <w:rPr>
          <w:rFonts w:ascii="Times New Roman" w:hAnsi="Times New Roman" w:cs="Times New Roman"/>
        </w:rPr>
        <w:t>26%</w:t>
      </w:r>
      <w:r w:rsidRPr="00970C35">
        <w:rPr>
          <w:rFonts w:ascii="Times New Roman" w:hAnsi="Times New Roman" w:cs="Times New Roman"/>
        </w:rPr>
        <w:t xml:space="preserve"> </w:t>
      </w:r>
      <w:r w:rsidR="00532F34" w:rsidRPr="00970C35">
        <w:rPr>
          <w:rFonts w:ascii="Times New Roman" w:hAnsi="Times New Roman" w:cs="Times New Roman"/>
        </w:rPr>
        <w:t xml:space="preserve">(-0.0006*117.1/0.268) </w:t>
      </w:r>
      <w:r w:rsidRPr="00970C35">
        <w:rPr>
          <w:rFonts w:ascii="Times New Roman" w:hAnsi="Times New Roman" w:cs="Times New Roman"/>
        </w:rPr>
        <w:t xml:space="preserve">of the extra investment. It is also worth noting that in </w:t>
      </w:r>
      <w:r w:rsidR="00543A8D" w:rsidRPr="00970C35">
        <w:rPr>
          <w:rFonts w:ascii="Times New Roman" w:hAnsi="Times New Roman" w:cs="Times New Roman"/>
        </w:rPr>
        <w:t>the</w:t>
      </w:r>
      <w:r w:rsidRPr="00970C35">
        <w:rPr>
          <w:rFonts w:ascii="Times New Roman" w:hAnsi="Times New Roman" w:cs="Times New Roman"/>
        </w:rPr>
        <w:t xml:space="preserve"> financial markets development literature, some researchers document that the equity market matters more for firms’ R&amp;D investment and innovation outcomes but credit market development is more important for investment in fixed assets (see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"10.1111/jofi.12040", "ISSN" : "00221082", "abstract" : "We study a broad sample of firms across 32 countries and find that strong shareholder protections and better access to stock market financing lead to substantially higher long-run rates of R&amp;D investment, particularly in small firms, but are unimportant for fixed capital investment. Creditmarket development has a modest impact on fixed investment but no impact on R&amp;D. These findings connect law and stockmarkets with innovative activities key to economic growth, and show that legal rules and financial developments affecting the availability of external equity financing are particularly important for risky, intangible investments not easily financed with debt.", "author" : [ { "dropping-particle" : "", "family" : "Brown", "given" : "James R.", "non-dropping-particle" : "", "parse-names" : false, "suffix" : "" }, { "dropping-particle" : "", "family" : "Martinsson", "given" : "Gustav", "non-dropping-particle" : "", "parse-names" : false, "suffix" : "" }, { "dropping-particle" : "", "family" : "Petersen", "given" : "Bruce C.", "non-dropping-particle" : "", "parse-names" : false, "suffix" : "" } ], "container-title" : "Journal of Finance", "id" : "ITEM-1", "issue" : "4", "issued" : { "date-parts" : [ [ "2013" ] ] }, "page" : "1517-1549", "title" : "Law, stock markets, and innovation", "type" : "article-journal", "volume" : "68" }, "uris" : [ "http://www.mendeley.com/documents/?uuid=c8d60d20-d553-44eb-b524-cd60de1c08d8" ] } ], "mendeley" : { "formattedCitation" : "Brown, Martinsson, and Petersen (2013)", "manualFormatting" : "Brown, Martinsson, and Petersen, 2013", "plainTextFormattedCitation" : "Brown, Martinsson, and Petersen (2013)", "previouslyFormattedCitation" : "Brown, Martinsson, and Petersen (2013)" }, "properties" : { "noteIndex" : 0 }, "schema" : "https://github.com/citation-style-language/schema/raw/master/csl-citation.json" }</w:instrText>
      </w:r>
      <w:r w:rsidRPr="00970C35">
        <w:rPr>
          <w:rFonts w:ascii="Times New Roman" w:hAnsi="Times New Roman" w:cs="Times New Roman"/>
        </w:rPr>
        <w:fldChar w:fldCharType="separate"/>
      </w:r>
      <w:r w:rsidRPr="00970C35">
        <w:rPr>
          <w:rFonts w:ascii="Times New Roman" w:hAnsi="Times New Roman" w:cs="Times New Roman"/>
          <w:noProof/>
        </w:rPr>
        <w:t>Brown, Martinsson, and Petersen, 2013</w:t>
      </w:r>
      <w:r w:rsidRPr="00970C35">
        <w:rPr>
          <w:rFonts w:ascii="Times New Roman" w:hAnsi="Times New Roman" w:cs="Times New Roman"/>
        </w:rPr>
        <w:fldChar w:fldCharType="end"/>
      </w:r>
      <w:r w:rsidRPr="00970C35">
        <w:rPr>
          <w:rFonts w:ascii="Times New Roman" w:hAnsi="Times New Roman" w:cs="Times New Roman"/>
        </w:rPr>
        <w:t xml:space="preserve"> and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"10.1016/j.jfineco.2013.12.002", "ISBN" : "0304-405X", "ISSN" : "0304405X", "PMID" : "25246403", "abstract" : "We examine how financial market development affects technological innovation. Using a large data set that includes 32 developed and emerging countries and a fixed effects identification strategy, we identify economic mechanisms through which the development of equity markets and credit markets affects technological innovation. We show that industries that are more dependent on external finance and that are more high-tech intensive exhibit a disproportionally higher innovation level in countries with better developed equity markets. However, the development of credit markets appears to discourage innovation in industries with these characteristics. Our paper provides new insights into the real effects of financial market development on the economy.", "author" : [ { "dropping-particle" : "", "family" : "Hsu", "given" : "Po-Hsuan", "non-dropping-particle" : "", "parse-names" : false, "suffix" : "" }, { "dropping-particle" : "", "family" : "Tian", "given" : "Xuan", "non-dropping-particle" : "", "parse-names" : false, "suffix" : "" }, { "dropping-particle" : "", "family" : "Xu", "given" : "Yan", "non-dropping-particle" : "", "parse-names" : false, "suffix" : "" } ], "container-title" : "Journal of Financial Economics", "id" : "ITEM-1", "issue" : "1", "issued" : { "date-parts" : [ [ "2014" ] ] }, "page" : "116-135", "publisher" : "Elsevier", "title" : "Financial development and innovation: Cross-country evidence", "type" : "article-journal", "volume" : "112" }, "uris" : [ "http://www.mendeley.com/documents/?uuid=c5d6b8f4-3a53-4376-a717-49c279e538b9" ] } ], "mendeley" : { "formattedCitation" : "Hsu, Tian, and Xu (2014)", "manualFormatting" : "Hsu, Tian, and Xu, 2014", "plainTextFormattedCitation" : "Hsu, Tian, and Xu (2014)", "previouslyFormattedCitation" : "Hsu, Tian, and Xu (2014)" }, "properties" : { "noteIndex" : 0 }, "schema" : "https://github.com/citation-style-language/schema/raw/master/csl-citation.json" }</w:instrText>
      </w:r>
      <w:r w:rsidRPr="00970C35">
        <w:rPr>
          <w:rFonts w:ascii="Times New Roman" w:hAnsi="Times New Roman" w:cs="Times New Roman"/>
        </w:rPr>
        <w:fldChar w:fldCharType="separate"/>
      </w:r>
      <w:r w:rsidRPr="00970C35">
        <w:rPr>
          <w:rFonts w:ascii="Times New Roman" w:hAnsi="Times New Roman" w:cs="Times New Roman"/>
          <w:noProof/>
        </w:rPr>
        <w:t>Hsu, Tian, and Xu, 2014</w:t>
      </w:r>
      <w:r w:rsidRPr="00970C35">
        <w:rPr>
          <w:rFonts w:ascii="Times New Roman" w:hAnsi="Times New Roman" w:cs="Times New Roman"/>
        </w:rPr>
        <w:fldChar w:fldCharType="end"/>
      </w:r>
      <w:r w:rsidRPr="00970C35">
        <w:rPr>
          <w:rFonts w:ascii="Times New Roman" w:hAnsi="Times New Roman" w:cs="Times New Roman"/>
        </w:rPr>
        <w:t xml:space="preserve">). They argue that this is because the natures of R&amp;D such as large upside returns and lack of collateral value limit firms’ ability to use debt finance. </w:t>
      </w:r>
      <w:r w:rsidR="00543A8D" w:rsidRPr="00970C35">
        <w:rPr>
          <w:rFonts w:ascii="Times New Roman" w:hAnsi="Times New Roman" w:cs="Times New Roman"/>
        </w:rPr>
        <w:t>Consistent with the evidence documented in the literature, o</w:t>
      </w:r>
      <w:r w:rsidRPr="00970C35">
        <w:rPr>
          <w:rFonts w:ascii="Times New Roman" w:hAnsi="Times New Roman" w:cs="Times New Roman"/>
        </w:rPr>
        <w:t xml:space="preserve">ur results in Columns </w:t>
      </w:r>
      <w:r w:rsidR="00543A8D" w:rsidRPr="00970C35">
        <w:rPr>
          <w:rFonts w:ascii="Times New Roman" w:hAnsi="Times New Roman" w:cs="Times New Roman"/>
        </w:rPr>
        <w:t>2</w:t>
      </w:r>
      <w:r w:rsidRPr="00970C35">
        <w:rPr>
          <w:rFonts w:ascii="Times New Roman" w:hAnsi="Times New Roman" w:cs="Times New Roman"/>
        </w:rPr>
        <w:t xml:space="preserve"> and </w:t>
      </w:r>
      <w:r w:rsidR="00543A8D" w:rsidRPr="00970C35">
        <w:rPr>
          <w:rFonts w:ascii="Times New Roman" w:hAnsi="Times New Roman" w:cs="Times New Roman"/>
        </w:rPr>
        <w:t>6</w:t>
      </w:r>
      <w:r w:rsidRPr="00970C35">
        <w:rPr>
          <w:rFonts w:ascii="Times New Roman" w:hAnsi="Times New Roman" w:cs="Times New Roman"/>
        </w:rPr>
        <w:t xml:space="preserve"> show that when it comes to investment in fixed assets, credit market matters more, at least in reducing potentially wasteful fourth quarter spending. </w:t>
      </w:r>
    </w:p>
    <w:p w:rsidR="00821BD4" w:rsidRPr="00970C35" w:rsidRDefault="00E24B3C" w:rsidP="0035745F">
      <w:pPr>
        <w:spacing w:after="240" w:line="480" w:lineRule="auto"/>
        <w:ind w:firstLine="288"/>
        <w:jc w:val="both"/>
        <w:rPr>
          <w:rFonts w:ascii="Times New Roman" w:hAnsi="Times New Roman" w:cs="Times New Roman"/>
        </w:rPr>
      </w:pPr>
      <w:r w:rsidRPr="00970C35">
        <w:rPr>
          <w:rFonts w:ascii="Times New Roman" w:hAnsi="Times New Roman" w:cs="Times New Roman"/>
        </w:rPr>
        <w:t>In summary</w:t>
      </w:r>
      <w:r w:rsidR="00821BD4" w:rsidRPr="00970C35">
        <w:rPr>
          <w:rFonts w:ascii="Times New Roman" w:hAnsi="Times New Roman" w:cs="Times New Roman"/>
        </w:rPr>
        <w:t xml:space="preserve">, the results above show that </w:t>
      </w:r>
      <w:r w:rsidR="00543A8D" w:rsidRPr="00970C35">
        <w:rPr>
          <w:rFonts w:ascii="Times New Roman" w:hAnsi="Times New Roman" w:cs="Times New Roman"/>
        </w:rPr>
        <w:t>firm</w:t>
      </w:r>
      <w:r w:rsidR="0028036E" w:rsidRPr="00970C35">
        <w:rPr>
          <w:rFonts w:ascii="Times New Roman" w:hAnsi="Times New Roman" w:cs="Times New Roman"/>
        </w:rPr>
        <w:t>s</w:t>
      </w:r>
      <w:r w:rsidR="00543A8D" w:rsidRPr="00970C35">
        <w:rPr>
          <w:rFonts w:ascii="Times New Roman" w:hAnsi="Times New Roman" w:cs="Times New Roman"/>
        </w:rPr>
        <w:t xml:space="preserve">’ external </w:t>
      </w:r>
      <w:r w:rsidR="004C79A0" w:rsidRPr="00970C35">
        <w:rPr>
          <w:rFonts w:ascii="Times New Roman" w:hAnsi="Times New Roman" w:cs="Times New Roman"/>
        </w:rPr>
        <w:t xml:space="preserve">business </w:t>
      </w:r>
      <w:r w:rsidR="00543A8D" w:rsidRPr="00970C35">
        <w:rPr>
          <w:rFonts w:ascii="Times New Roman" w:hAnsi="Times New Roman" w:cs="Times New Roman"/>
        </w:rPr>
        <w:t>environment, specifically country characteristics,</w:t>
      </w:r>
      <w:r w:rsidR="00821BD4" w:rsidRPr="00970C35">
        <w:rPr>
          <w:rFonts w:ascii="Times New Roman" w:hAnsi="Times New Roman" w:cs="Times New Roman"/>
        </w:rPr>
        <w:t xml:space="preserve"> do</w:t>
      </w:r>
      <w:r w:rsidR="00543A8D" w:rsidRPr="00970C35">
        <w:rPr>
          <w:rFonts w:ascii="Times New Roman" w:hAnsi="Times New Roman" w:cs="Times New Roman"/>
        </w:rPr>
        <w:t>es</w:t>
      </w:r>
      <w:r w:rsidR="00821BD4" w:rsidRPr="00970C35">
        <w:rPr>
          <w:rFonts w:ascii="Times New Roman" w:hAnsi="Times New Roman" w:cs="Times New Roman"/>
        </w:rPr>
        <w:t xml:space="preserve"> </w:t>
      </w:r>
      <w:r w:rsidR="0028036E" w:rsidRPr="00970C35">
        <w:rPr>
          <w:rFonts w:ascii="Times New Roman" w:hAnsi="Times New Roman" w:cs="Times New Roman"/>
        </w:rPr>
        <w:t xml:space="preserve">indeed </w:t>
      </w:r>
      <w:r w:rsidR="00821BD4" w:rsidRPr="00970C35">
        <w:rPr>
          <w:rFonts w:ascii="Times New Roman" w:hAnsi="Times New Roman" w:cs="Times New Roman"/>
        </w:rPr>
        <w:t xml:space="preserve">matter for firms’ investment </w:t>
      </w:r>
      <w:r w:rsidR="00543A8D" w:rsidRPr="00970C35">
        <w:rPr>
          <w:rFonts w:ascii="Times New Roman" w:hAnsi="Times New Roman" w:cs="Times New Roman"/>
        </w:rPr>
        <w:t>activities</w:t>
      </w:r>
      <w:r w:rsidR="00821BD4" w:rsidRPr="00970C35">
        <w:rPr>
          <w:rFonts w:ascii="Times New Roman" w:hAnsi="Times New Roman" w:cs="Times New Roman"/>
        </w:rPr>
        <w:t xml:space="preserve">. Firms in countries with </w:t>
      </w:r>
      <w:r w:rsidR="00543A8D" w:rsidRPr="00970C35">
        <w:rPr>
          <w:rFonts w:ascii="Times New Roman" w:hAnsi="Times New Roman" w:cs="Times New Roman"/>
        </w:rPr>
        <w:t>higher investor rights and protection</w:t>
      </w:r>
      <w:r w:rsidR="00E35D70" w:rsidRPr="00970C35">
        <w:rPr>
          <w:rFonts w:ascii="Times New Roman" w:hAnsi="Times New Roman" w:cs="Times New Roman"/>
        </w:rPr>
        <w:t>, English legal origin, stronger law enforcement</w:t>
      </w:r>
      <w:r w:rsidR="00543A8D" w:rsidRPr="00970C35">
        <w:rPr>
          <w:rFonts w:ascii="Times New Roman" w:hAnsi="Times New Roman" w:cs="Times New Roman"/>
        </w:rPr>
        <w:t>,</w:t>
      </w:r>
      <w:r w:rsidR="00E35D70" w:rsidRPr="00970C35">
        <w:rPr>
          <w:rFonts w:ascii="Times New Roman" w:hAnsi="Times New Roman" w:cs="Times New Roman"/>
        </w:rPr>
        <w:t xml:space="preserve"> and</w:t>
      </w:r>
      <w:r w:rsidR="00543A8D" w:rsidRPr="00970C35">
        <w:rPr>
          <w:rFonts w:ascii="Times New Roman" w:hAnsi="Times New Roman" w:cs="Times New Roman"/>
        </w:rPr>
        <w:t xml:space="preserve"> m</w:t>
      </w:r>
      <w:r w:rsidR="00E35D70" w:rsidRPr="00970C35">
        <w:rPr>
          <w:rFonts w:ascii="Times New Roman" w:hAnsi="Times New Roman" w:cs="Times New Roman"/>
        </w:rPr>
        <w:t>ore developed financial markets</w:t>
      </w:r>
      <w:r w:rsidR="00543A8D" w:rsidRPr="00970C35">
        <w:rPr>
          <w:rFonts w:ascii="Times New Roman" w:hAnsi="Times New Roman" w:cs="Times New Roman"/>
        </w:rPr>
        <w:t xml:space="preserve"> </w:t>
      </w:r>
      <w:r w:rsidR="00821BD4" w:rsidRPr="00970C35">
        <w:rPr>
          <w:rFonts w:ascii="Times New Roman" w:hAnsi="Times New Roman" w:cs="Times New Roman"/>
        </w:rPr>
        <w:t>tend to have</w:t>
      </w:r>
      <w:r w:rsidR="0028036E" w:rsidRPr="00970C35">
        <w:rPr>
          <w:rFonts w:ascii="Times New Roman" w:hAnsi="Times New Roman" w:cs="Times New Roman"/>
        </w:rPr>
        <w:t xml:space="preserve"> a</w:t>
      </w:r>
      <w:r w:rsidR="00821BD4" w:rsidRPr="00970C35">
        <w:rPr>
          <w:rFonts w:ascii="Times New Roman" w:hAnsi="Times New Roman" w:cs="Times New Roman"/>
        </w:rPr>
        <w:t xml:space="preserve"> less salient </w:t>
      </w:r>
      <w:r w:rsidR="003A7D27" w:rsidRPr="00970C35">
        <w:rPr>
          <w:rFonts w:ascii="Times New Roman" w:hAnsi="Times New Roman" w:cs="Times New Roman"/>
        </w:rPr>
        <w:t>“</w:t>
      </w:r>
      <w:r w:rsidR="00821BD4" w:rsidRPr="00970C35">
        <w:rPr>
          <w:rFonts w:ascii="Times New Roman" w:hAnsi="Times New Roman" w:cs="Times New Roman"/>
        </w:rPr>
        <w:t>fourth quarter effect</w:t>
      </w:r>
      <w:r w:rsidR="003A7D27" w:rsidRPr="00970C35">
        <w:rPr>
          <w:rFonts w:ascii="Times New Roman" w:hAnsi="Times New Roman" w:cs="Times New Roman"/>
        </w:rPr>
        <w:t>”</w:t>
      </w:r>
      <w:r w:rsidR="00821BD4" w:rsidRPr="00970C35">
        <w:rPr>
          <w:rFonts w:ascii="Times New Roman" w:hAnsi="Times New Roman" w:cs="Times New Roman"/>
        </w:rPr>
        <w:t xml:space="preserve">, implying that the “use it or lose it” dilemma is generally less severe </w:t>
      </w:r>
      <w:r w:rsidR="00543A8D" w:rsidRPr="00970C35">
        <w:rPr>
          <w:rFonts w:ascii="Times New Roman" w:hAnsi="Times New Roman" w:cs="Times New Roman"/>
        </w:rPr>
        <w:t xml:space="preserve">or more effectively reduced </w:t>
      </w:r>
      <w:r w:rsidR="00821BD4" w:rsidRPr="00970C35">
        <w:rPr>
          <w:rFonts w:ascii="Times New Roman" w:hAnsi="Times New Roman" w:cs="Times New Roman"/>
        </w:rPr>
        <w:t xml:space="preserve">in firms in these countries. </w:t>
      </w:r>
    </w:p>
    <w:p w:rsidR="00821BD4" w:rsidRPr="00970C35" w:rsidRDefault="00BF7092" w:rsidP="00F47AA0">
      <w:pPr>
        <w:autoSpaceDE w:val="0"/>
        <w:autoSpaceDN w:val="0"/>
        <w:adjustRightInd w:val="0"/>
        <w:spacing w:after="120" w:line="480" w:lineRule="auto"/>
        <w:jc w:val="both"/>
        <w:rPr>
          <w:rFonts w:ascii="Times New Roman" w:hAnsi="Times New Roman" w:cs="Times New Roman"/>
          <w:b/>
        </w:rPr>
      </w:pPr>
      <w:r w:rsidRPr="00970C35">
        <w:rPr>
          <w:rFonts w:ascii="Times New Roman" w:hAnsi="Times New Roman" w:cs="Times New Roman"/>
          <w:b/>
        </w:rPr>
        <w:t>5</w:t>
      </w:r>
      <w:r w:rsidR="00821BD4" w:rsidRPr="00970C35">
        <w:rPr>
          <w:rFonts w:ascii="Times New Roman" w:hAnsi="Times New Roman" w:cs="Times New Roman"/>
          <w:b/>
        </w:rPr>
        <w:t xml:space="preserve">. Robustness </w:t>
      </w:r>
      <w:r w:rsidR="006269D6" w:rsidRPr="00970C35">
        <w:rPr>
          <w:rFonts w:ascii="Times New Roman" w:hAnsi="Times New Roman" w:cs="Times New Roman"/>
          <w:b/>
        </w:rPr>
        <w:t>C</w:t>
      </w:r>
      <w:r w:rsidR="00821BD4" w:rsidRPr="00970C35">
        <w:rPr>
          <w:rFonts w:ascii="Times New Roman" w:hAnsi="Times New Roman" w:cs="Times New Roman"/>
          <w:b/>
        </w:rPr>
        <w:t>heck</w:t>
      </w:r>
      <w:r w:rsidR="000943BD" w:rsidRPr="00970C35">
        <w:rPr>
          <w:rFonts w:ascii="Times New Roman" w:hAnsi="Times New Roman" w:cs="Times New Roman"/>
          <w:b/>
        </w:rPr>
        <w:t>s</w:t>
      </w:r>
      <w:r w:rsidR="00821BD4" w:rsidRPr="00970C35">
        <w:rPr>
          <w:rFonts w:ascii="Times New Roman" w:hAnsi="Times New Roman" w:cs="Times New Roman"/>
          <w:b/>
        </w:rPr>
        <w:t xml:space="preserve"> and </w:t>
      </w:r>
      <w:r w:rsidR="006269D6" w:rsidRPr="00970C35">
        <w:rPr>
          <w:rFonts w:ascii="Times New Roman" w:hAnsi="Times New Roman" w:cs="Times New Roman"/>
          <w:b/>
        </w:rPr>
        <w:t>A</w:t>
      </w:r>
      <w:r w:rsidR="00821BD4" w:rsidRPr="00970C35">
        <w:rPr>
          <w:rFonts w:ascii="Times New Roman" w:hAnsi="Times New Roman" w:cs="Times New Roman"/>
          <w:b/>
        </w:rPr>
        <w:t xml:space="preserve">lternative </w:t>
      </w:r>
      <w:r w:rsidR="006269D6" w:rsidRPr="00970C35">
        <w:rPr>
          <w:rFonts w:ascii="Times New Roman" w:hAnsi="Times New Roman" w:cs="Times New Roman"/>
          <w:b/>
        </w:rPr>
        <w:t>E</w:t>
      </w:r>
      <w:r w:rsidR="00821BD4" w:rsidRPr="00970C35">
        <w:rPr>
          <w:rFonts w:ascii="Times New Roman" w:hAnsi="Times New Roman" w:cs="Times New Roman"/>
          <w:b/>
        </w:rPr>
        <w:t xml:space="preserve">xplanations of </w:t>
      </w:r>
      <w:r w:rsidR="001871E9" w:rsidRPr="00970C35">
        <w:rPr>
          <w:rFonts w:ascii="Times New Roman" w:hAnsi="Times New Roman" w:cs="Times New Roman"/>
          <w:b/>
        </w:rPr>
        <w:t>“</w:t>
      </w:r>
      <w:r w:rsidR="006269D6" w:rsidRPr="00970C35">
        <w:rPr>
          <w:rFonts w:ascii="Times New Roman" w:hAnsi="Times New Roman" w:cs="Times New Roman"/>
          <w:b/>
        </w:rPr>
        <w:t>F</w:t>
      </w:r>
      <w:r w:rsidR="00821BD4" w:rsidRPr="00970C35">
        <w:rPr>
          <w:rFonts w:ascii="Times New Roman" w:hAnsi="Times New Roman" w:cs="Times New Roman"/>
          <w:b/>
        </w:rPr>
        <w:t xml:space="preserve">ourth </w:t>
      </w:r>
      <w:r w:rsidR="006269D6" w:rsidRPr="00970C35">
        <w:rPr>
          <w:rFonts w:ascii="Times New Roman" w:hAnsi="Times New Roman" w:cs="Times New Roman"/>
          <w:b/>
        </w:rPr>
        <w:t>Q</w:t>
      </w:r>
      <w:r w:rsidR="00821BD4" w:rsidRPr="00970C35">
        <w:rPr>
          <w:rFonts w:ascii="Times New Roman" w:hAnsi="Times New Roman" w:cs="Times New Roman"/>
          <w:b/>
        </w:rPr>
        <w:t xml:space="preserve">uarter </w:t>
      </w:r>
      <w:r w:rsidR="006269D6" w:rsidRPr="00970C35">
        <w:rPr>
          <w:rFonts w:ascii="Times New Roman" w:hAnsi="Times New Roman" w:cs="Times New Roman"/>
          <w:b/>
        </w:rPr>
        <w:t>E</w:t>
      </w:r>
      <w:r w:rsidR="00821BD4" w:rsidRPr="00970C35">
        <w:rPr>
          <w:rFonts w:ascii="Times New Roman" w:hAnsi="Times New Roman" w:cs="Times New Roman"/>
          <w:b/>
        </w:rPr>
        <w:t>ffect</w:t>
      </w:r>
      <w:r w:rsidR="001871E9" w:rsidRPr="00970C35">
        <w:rPr>
          <w:rFonts w:ascii="Times New Roman" w:hAnsi="Times New Roman" w:cs="Times New Roman"/>
          <w:b/>
        </w:rPr>
        <w:t>”</w:t>
      </w:r>
    </w:p>
    <w:p w:rsidR="001A5329" w:rsidRPr="00970C35" w:rsidRDefault="001A5329" w:rsidP="00246320">
      <w:pPr>
        <w:autoSpaceDE w:val="0"/>
        <w:autoSpaceDN w:val="0"/>
        <w:adjustRightInd w:val="0"/>
        <w:spacing w:after="0" w:line="480" w:lineRule="auto"/>
        <w:jc w:val="both"/>
        <w:rPr>
          <w:rFonts w:ascii="Times New Roman" w:hAnsi="Times New Roman" w:cs="Times New Roman"/>
        </w:rPr>
      </w:pPr>
      <w:r w:rsidRPr="00970C35">
        <w:rPr>
          <w:rFonts w:ascii="Times New Roman" w:hAnsi="Times New Roman" w:cs="Times New Roman"/>
        </w:rPr>
        <w:t>5.1</w:t>
      </w:r>
      <w:r w:rsidR="006269D6" w:rsidRPr="00970C35">
        <w:rPr>
          <w:rFonts w:ascii="Times New Roman" w:hAnsi="Times New Roman" w:cs="Times New Roman"/>
        </w:rPr>
        <w:t>.</w:t>
      </w:r>
      <w:r w:rsidRPr="00970C35">
        <w:rPr>
          <w:rFonts w:ascii="Times New Roman" w:hAnsi="Times New Roman" w:cs="Times New Roman"/>
        </w:rPr>
        <w:t xml:space="preserve"> Lagged q and Cash Flow as Instruments</w:t>
      </w:r>
    </w:p>
    <w:p w:rsidR="002831D3" w:rsidRPr="00970C35" w:rsidRDefault="00F14406" w:rsidP="00246320">
      <w:pPr>
        <w:autoSpaceDE w:val="0"/>
        <w:autoSpaceDN w:val="0"/>
        <w:adjustRightInd w:val="0"/>
        <w:spacing w:after="0" w:line="480" w:lineRule="auto"/>
        <w:jc w:val="both"/>
        <w:rPr>
          <w:rFonts w:ascii="Times New Roman" w:hAnsi="Times New Roman" w:cs="Times New Roman"/>
        </w:rPr>
      </w:pPr>
      <w:r w:rsidRPr="00970C35">
        <w:rPr>
          <w:rFonts w:ascii="Times New Roman" w:hAnsi="Times New Roman" w:cs="Times New Roman"/>
        </w:rPr>
        <w:lastRenderedPageBreak/>
        <w:t>When researchers study corporate investment and use Tobin’s q as one of the proxies for firm</w:t>
      </w:r>
      <w:r w:rsidR="0028036E" w:rsidRPr="00970C35">
        <w:rPr>
          <w:rFonts w:ascii="Times New Roman" w:hAnsi="Times New Roman" w:cs="Times New Roman"/>
        </w:rPr>
        <w:t>s</w:t>
      </w:r>
      <w:r w:rsidRPr="00970C35">
        <w:rPr>
          <w:rFonts w:ascii="Times New Roman" w:hAnsi="Times New Roman" w:cs="Times New Roman"/>
        </w:rPr>
        <w:t>’ investment opportunit</w:t>
      </w:r>
      <w:r w:rsidR="0028036E" w:rsidRPr="00970C35">
        <w:rPr>
          <w:rFonts w:ascii="Times New Roman" w:hAnsi="Times New Roman" w:cs="Times New Roman"/>
        </w:rPr>
        <w:t>ies</w:t>
      </w:r>
      <w:r w:rsidRPr="00970C35">
        <w:rPr>
          <w:rFonts w:ascii="Times New Roman" w:hAnsi="Times New Roman" w:cs="Times New Roman"/>
        </w:rPr>
        <w:t xml:space="preserve">, one common caveat in their studies is that the average q is subject to measurement error mentioned in, for example,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"10.1086/317670", "ISBN" : "00223808", "ISSN" : "00223808", "abstract" : "Many recent empirical investment studies have found that the investment of financially constrained firms responds strongly to cash flow. Paralleling these findings is the disappointing performance of the q theory of investment: even though marginal q should summarize the effects of all factors relevant to the investment decision, cash flow still matters. We examine whether this failure is due to error in measuring marginal q. Using measurement error\u2013consistent generalized method of moments estimators, we find that most of the stylized facts produced by investment\u2010q cash flow regressions are artifacts of measurement error. Cash flow does not matter, even for financially constrained firms, and despite its simple structure, q theory has good explanatory power once purged of measurement error.", "author" : [ { "dropping-particle" : "", "family" : "Erickson", "given" : "Timothy", "non-dropping-particle" : "", "parse-names" : false, "suffix" : "" }, { "dropping-particle" : "", "family" : "Whited", "given" : "Toni M.", "non-dropping-particle" : "", "parse-names" : false, "suffix" : "" } ], "container-title" : "Journal of Political Economy", "id" : "ITEM-1", "issue" : "5", "issued" : { "date-parts" : [ [ "2000" ] ] }, "page" : "1027-1057", "title" : "Measurement Error and the Relationship between Investment and q", "type" : "article-journal", "volume" : "108" }, "uris" : [ "http://www.mendeley.com/documents/?uuid=7c2220b5-07d7-48e4-8149-a14d5dd5dc20" ] } ], "mendeley" : { "formattedCitation" : "Erickson and Whited (2000)", "plainTextFormattedCitation" : "Erickson and Whited (2000)", "previouslyFormattedCitation" : "Erickson and Whited (2000)"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Erickson and Whited (2000)</w:t>
      </w:r>
      <w:r w:rsidRPr="00970C35">
        <w:rPr>
          <w:rFonts w:ascii="Times New Roman" w:hAnsi="Times New Roman" w:cs="Times New Roman"/>
        </w:rPr>
        <w:fldChar w:fldCharType="end"/>
      </w:r>
      <w:r w:rsidRPr="00970C35">
        <w:rPr>
          <w:rFonts w:ascii="Times New Roman" w:hAnsi="Times New Roman" w:cs="Times New Roman"/>
        </w:rPr>
        <w:t xml:space="preserve">. The measurement error problem is especially contaminating when researchers attempt to interpret the coefficient on </w:t>
      </w:r>
      <w:r w:rsidR="0028036E" w:rsidRPr="00970C35">
        <w:rPr>
          <w:rFonts w:ascii="Times New Roman" w:hAnsi="Times New Roman" w:cs="Times New Roman"/>
        </w:rPr>
        <w:t xml:space="preserve">a </w:t>
      </w:r>
      <w:r w:rsidRPr="00970C35">
        <w:rPr>
          <w:rFonts w:ascii="Times New Roman" w:hAnsi="Times New Roman" w:cs="Times New Roman"/>
        </w:rPr>
        <w:t xml:space="preserve">firm’s cash flow when they study, for example, how firms’ investments are impacted by </w:t>
      </w:r>
      <w:r w:rsidR="002831D3" w:rsidRPr="00970C35">
        <w:rPr>
          <w:rFonts w:ascii="Times New Roman" w:hAnsi="Times New Roman" w:cs="Times New Roman"/>
        </w:rPr>
        <w:t xml:space="preserve">financial constraints, because cash flow and the measurement error is significantly correlated. This issue is not particularly critical in </w:t>
      </w:r>
      <w:r w:rsidR="0028036E" w:rsidRPr="00970C35">
        <w:rPr>
          <w:rFonts w:ascii="Times New Roman" w:hAnsi="Times New Roman" w:cs="Times New Roman"/>
        </w:rPr>
        <w:t>this current</w:t>
      </w:r>
      <w:r w:rsidR="002831D3" w:rsidRPr="00970C35">
        <w:rPr>
          <w:rFonts w:ascii="Times New Roman" w:hAnsi="Times New Roman" w:cs="Times New Roman"/>
        </w:rPr>
        <w:t xml:space="preserve"> study since we focus on the coefficient on country characteristics instead of firm’s cash flow. Still, f</w:t>
      </w:r>
      <w:r w:rsidR="001A5329" w:rsidRPr="00970C35">
        <w:rPr>
          <w:rFonts w:ascii="Times New Roman" w:hAnsi="Times New Roman" w:cs="Times New Roman"/>
        </w:rPr>
        <w:t xml:space="preserve">ollowing </w:t>
      </w:r>
      <w:r w:rsidR="001A5329"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"10.1093/rfs/hhq058", "ISSN" : "08939454", "abstract" : "We use Monte Carlo simulations and real data to assess the performance of methods deal- ing with measurement error in investment equations. Our experiments show that fixed ef- fects, error heteroscedasticity, and data skewness severely affect the performance and reli- ability of methods found in the literature. Estimators that use higher-order moments return biased coefficients for (both) mismeasured and perfectly measured regressors. These esti- mators are also very inefficient. Instrumental-variable-type estimators are more robust and efficient, although they require restrictive assumptions.We estimate empirical investment models using alternative methods. Real-world investment data contain firm-fixed effects and heteroscedasticity, causing high-order moments estimators to deliver coefficients that are unstable and not economically meaningful. Instrumental variables methods yield es- timates that are robust and conform to theoretical priors. Our analysis provides guidance for dealing with measurement errors under circumstances researchers are likely to find in practice.", "author" : [ { "dropping-particle" : "", "family" : "Almeida", "given" : "Heitor", "non-dropping-particle" : "", "parse-names" : false, "suffix" : "" }, { "dropping-particle" : "", "family" : "Campello", "given" : "Murillo", "non-dropping-particle" : "", "parse-names" : false, "suffix" : "" }, { "dropping-particle" : "", "family" : "Galvao", "given" : "Antonio F.", "non-dropping-particle" : "", "parse-names" : false, "suffix" : "" } ], "container-title" : "Review of Financial Studies", "id" : "ITEM-1", "issue" : "217", "issued" : { "date-parts" : [ [ "2010" ] ] }, "page" : "3279-3328", "title" : "Measurement errors in investment equations", "type" : "article-journal", "volume" : "23" }, "uris" : [ "http://www.mendeley.com/documents/?uuid=431a44dd-5f57-48ed-b02f-679b0e720e70" ] } ], "mendeley" : { "formattedCitation" : "Almeida, Campello, and Galvao (2010)", "plainTextFormattedCitation" : "Almeida, Campello, and Galvao (2010)", "previouslyFormattedCitation" : "Almeida, Campello, and Galvao (2010)" }, "properties" : { "noteIndex" : 0 }, "schema" : "https://github.com/citation-style-language/schema/raw/master/csl-citation.json" }</w:instrText>
      </w:r>
      <w:r w:rsidR="001A5329" w:rsidRPr="00970C35">
        <w:rPr>
          <w:rFonts w:ascii="Times New Roman" w:hAnsi="Times New Roman" w:cs="Times New Roman"/>
        </w:rPr>
        <w:fldChar w:fldCharType="separate"/>
      </w:r>
      <w:r w:rsidR="00C462AD" w:rsidRPr="00970C35">
        <w:rPr>
          <w:rFonts w:ascii="Times New Roman" w:hAnsi="Times New Roman" w:cs="Times New Roman"/>
          <w:noProof/>
        </w:rPr>
        <w:t>Almeida, Campello, and Galvao (2010)</w:t>
      </w:r>
      <w:r w:rsidR="001A5329" w:rsidRPr="00970C35">
        <w:rPr>
          <w:rFonts w:ascii="Times New Roman" w:hAnsi="Times New Roman" w:cs="Times New Roman"/>
        </w:rPr>
        <w:fldChar w:fldCharType="end"/>
      </w:r>
      <w:r w:rsidR="001A5329" w:rsidRPr="00970C35">
        <w:rPr>
          <w:rFonts w:ascii="Times New Roman" w:hAnsi="Times New Roman" w:cs="Times New Roman"/>
        </w:rPr>
        <w:t>, we take into account the measurement error</w:t>
      </w:r>
      <w:r w:rsidR="002831D3" w:rsidRPr="00970C35">
        <w:rPr>
          <w:rFonts w:ascii="Times New Roman" w:hAnsi="Times New Roman" w:cs="Times New Roman"/>
        </w:rPr>
        <w:t xml:space="preserve"> problem</w:t>
      </w:r>
      <w:r w:rsidR="0028036E" w:rsidRPr="00970C35">
        <w:rPr>
          <w:rFonts w:ascii="Times New Roman" w:hAnsi="Times New Roman" w:cs="Times New Roman"/>
        </w:rPr>
        <w:t>,</w:t>
      </w:r>
      <w:r w:rsidR="002831D3" w:rsidRPr="00970C35">
        <w:rPr>
          <w:rFonts w:ascii="Times New Roman" w:hAnsi="Times New Roman" w:cs="Times New Roman"/>
        </w:rPr>
        <w:t xml:space="preserve"> and implement the 2SLS approach</w:t>
      </w:r>
      <w:r w:rsidR="001A5329" w:rsidRPr="00970C35">
        <w:rPr>
          <w:rFonts w:ascii="Times New Roman" w:hAnsi="Times New Roman" w:cs="Times New Roman"/>
        </w:rPr>
        <w:t xml:space="preserve">. </w:t>
      </w:r>
    </w:p>
    <w:p w:rsidR="001A5329" w:rsidRPr="00970C35" w:rsidRDefault="001A5329" w:rsidP="002831D3">
      <w:pPr>
        <w:autoSpaceDE w:val="0"/>
        <w:autoSpaceDN w:val="0"/>
        <w:adjustRightInd w:val="0"/>
        <w:spacing w:after="240" w:line="480" w:lineRule="auto"/>
        <w:ind w:firstLine="288"/>
        <w:jc w:val="both"/>
        <w:rPr>
          <w:rFonts w:ascii="Times New Roman" w:hAnsi="Times New Roman" w:cs="Times New Roman"/>
        </w:rPr>
      </w:pPr>
      <w:r w:rsidRPr="00970C35">
        <w:rPr>
          <w:rFonts w:ascii="Times New Roman" w:hAnsi="Times New Roman" w:cs="Times New Roman"/>
        </w:rPr>
        <w:t>Panel A of Table 6 reports the</w:t>
      </w:r>
      <w:r w:rsidR="00DC080A" w:rsidRPr="00970C35">
        <w:rPr>
          <w:rFonts w:ascii="Times New Roman" w:hAnsi="Times New Roman" w:cs="Times New Roman"/>
        </w:rPr>
        <w:t xml:space="preserve"> key</w:t>
      </w:r>
      <w:r w:rsidRPr="00970C35">
        <w:rPr>
          <w:rFonts w:ascii="Times New Roman" w:hAnsi="Times New Roman" w:cs="Times New Roman"/>
        </w:rPr>
        <w:t xml:space="preserve"> results of 2SLS regressions for the full sample, where the regression specification in the second stage is the same as that in Table 5</w:t>
      </w:r>
      <w:r w:rsidR="002831D3" w:rsidRPr="00970C35">
        <w:rPr>
          <w:rFonts w:ascii="Times New Roman" w:hAnsi="Times New Roman" w:cs="Times New Roman"/>
        </w:rPr>
        <w:t>,</w:t>
      </w:r>
      <w:r w:rsidRPr="00970C35">
        <w:rPr>
          <w:rFonts w:ascii="Times New Roman" w:hAnsi="Times New Roman" w:cs="Times New Roman"/>
        </w:rPr>
        <w:t xml:space="preserve"> and Tobin’s q is estimated in the first stage using instrumental variables as 1-year and 2-year lagged Tobin’s q, as well as 1-year and 2-year lagged cash flows. The results are</w:t>
      </w:r>
      <w:r w:rsidR="002831D3" w:rsidRPr="00970C35">
        <w:rPr>
          <w:rFonts w:ascii="Times New Roman" w:hAnsi="Times New Roman" w:cs="Times New Roman"/>
        </w:rPr>
        <w:t xml:space="preserve"> qualitatively similar to those in Table 4 and 5, and are</w:t>
      </w:r>
      <w:r w:rsidRPr="00970C35">
        <w:rPr>
          <w:rFonts w:ascii="Times New Roman" w:hAnsi="Times New Roman" w:cs="Times New Roman"/>
        </w:rPr>
        <w:t xml:space="preserve"> robust to variation</w:t>
      </w:r>
      <w:r w:rsidR="002831D3" w:rsidRPr="00970C35">
        <w:rPr>
          <w:rFonts w:ascii="Times New Roman" w:hAnsi="Times New Roman" w:cs="Times New Roman"/>
        </w:rPr>
        <w:t>s of instrumental variable sets as well as removing U</w:t>
      </w:r>
      <w:r w:rsidR="0028036E" w:rsidRPr="00970C35">
        <w:rPr>
          <w:rFonts w:ascii="Times New Roman" w:hAnsi="Times New Roman" w:cs="Times New Roman"/>
        </w:rPr>
        <w:t>.</w:t>
      </w:r>
      <w:r w:rsidR="002831D3" w:rsidRPr="00970C35">
        <w:rPr>
          <w:rFonts w:ascii="Times New Roman" w:hAnsi="Times New Roman" w:cs="Times New Roman"/>
        </w:rPr>
        <w:t>S</w:t>
      </w:r>
      <w:r w:rsidR="0028036E" w:rsidRPr="00970C35">
        <w:rPr>
          <w:rFonts w:ascii="Times New Roman" w:hAnsi="Times New Roman" w:cs="Times New Roman"/>
        </w:rPr>
        <w:t>.</w:t>
      </w:r>
      <w:r w:rsidR="002831D3" w:rsidRPr="00970C35">
        <w:rPr>
          <w:rFonts w:ascii="Times New Roman" w:hAnsi="Times New Roman" w:cs="Times New Roman"/>
        </w:rPr>
        <w:t xml:space="preserve"> companies from the full sample. </w:t>
      </w:r>
    </w:p>
    <w:p w:rsidR="00821BD4" w:rsidRPr="00970C35" w:rsidRDefault="00BF7092" w:rsidP="00246320">
      <w:pPr>
        <w:autoSpaceDE w:val="0"/>
        <w:autoSpaceDN w:val="0"/>
        <w:adjustRightInd w:val="0"/>
        <w:spacing w:after="0" w:line="480" w:lineRule="auto"/>
        <w:jc w:val="both"/>
        <w:rPr>
          <w:rFonts w:ascii="Times New Roman" w:hAnsi="Times New Roman" w:cs="Times New Roman"/>
        </w:rPr>
      </w:pPr>
      <w:r w:rsidRPr="00970C35">
        <w:rPr>
          <w:rFonts w:ascii="Times New Roman" w:hAnsi="Times New Roman" w:cs="Times New Roman"/>
        </w:rPr>
        <w:t>5</w:t>
      </w:r>
      <w:r w:rsidR="00821BD4" w:rsidRPr="00970C35">
        <w:rPr>
          <w:rFonts w:ascii="Times New Roman" w:hAnsi="Times New Roman" w:cs="Times New Roman"/>
        </w:rPr>
        <w:t>.</w:t>
      </w:r>
      <w:r w:rsidR="001A5329" w:rsidRPr="00970C35">
        <w:rPr>
          <w:rFonts w:ascii="Times New Roman" w:hAnsi="Times New Roman" w:cs="Times New Roman"/>
        </w:rPr>
        <w:t>2</w:t>
      </w:r>
      <w:r w:rsidR="00821BD4" w:rsidRPr="00970C35">
        <w:rPr>
          <w:rFonts w:ascii="Times New Roman" w:hAnsi="Times New Roman" w:cs="Times New Roman"/>
        </w:rPr>
        <w:t xml:space="preserve">. Cross-country </w:t>
      </w:r>
      <w:r w:rsidR="006269D6" w:rsidRPr="00970C35">
        <w:rPr>
          <w:rFonts w:ascii="Times New Roman" w:hAnsi="Times New Roman" w:cs="Times New Roman"/>
        </w:rPr>
        <w:t>A</w:t>
      </w:r>
      <w:r w:rsidR="00821BD4" w:rsidRPr="00970C35">
        <w:rPr>
          <w:rFonts w:ascii="Times New Roman" w:hAnsi="Times New Roman" w:cs="Times New Roman"/>
        </w:rPr>
        <w:t>nalysis at</w:t>
      </w:r>
      <w:r w:rsidR="0028036E" w:rsidRPr="00970C35">
        <w:rPr>
          <w:rFonts w:ascii="Times New Roman" w:hAnsi="Times New Roman" w:cs="Times New Roman"/>
        </w:rPr>
        <w:t xml:space="preserve"> the</w:t>
      </w:r>
      <w:r w:rsidR="00821BD4" w:rsidRPr="00970C35">
        <w:rPr>
          <w:rFonts w:ascii="Times New Roman" w:hAnsi="Times New Roman" w:cs="Times New Roman"/>
        </w:rPr>
        <w:t xml:space="preserve"> </w:t>
      </w:r>
      <w:r w:rsidR="006269D6" w:rsidRPr="00970C35">
        <w:rPr>
          <w:rFonts w:ascii="Times New Roman" w:hAnsi="Times New Roman" w:cs="Times New Roman"/>
        </w:rPr>
        <w:t>A</w:t>
      </w:r>
      <w:r w:rsidR="00560E61" w:rsidRPr="00970C35">
        <w:rPr>
          <w:rFonts w:ascii="Times New Roman" w:hAnsi="Times New Roman" w:cs="Times New Roman"/>
        </w:rPr>
        <w:t>ggregate</w:t>
      </w:r>
      <w:r w:rsidR="00821BD4" w:rsidRPr="00970C35">
        <w:rPr>
          <w:rFonts w:ascii="Times New Roman" w:hAnsi="Times New Roman" w:cs="Times New Roman"/>
        </w:rPr>
        <w:t xml:space="preserve"> </w:t>
      </w:r>
      <w:r w:rsidR="006269D6" w:rsidRPr="00970C35">
        <w:rPr>
          <w:rFonts w:ascii="Times New Roman" w:hAnsi="Times New Roman" w:cs="Times New Roman"/>
        </w:rPr>
        <w:t>L</w:t>
      </w:r>
      <w:r w:rsidR="00821BD4" w:rsidRPr="00970C35">
        <w:rPr>
          <w:rFonts w:ascii="Times New Roman" w:hAnsi="Times New Roman" w:cs="Times New Roman"/>
        </w:rPr>
        <w:t>evel</w:t>
      </w:r>
    </w:p>
    <w:p w:rsidR="00821BD4" w:rsidRPr="00970C35" w:rsidRDefault="00821BD4" w:rsidP="00246320">
      <w:pPr>
        <w:autoSpaceDE w:val="0"/>
        <w:autoSpaceDN w:val="0"/>
        <w:adjustRightInd w:val="0"/>
        <w:spacing w:after="0" w:line="480" w:lineRule="auto"/>
        <w:jc w:val="both"/>
        <w:rPr>
          <w:rFonts w:ascii="Times New Roman" w:hAnsi="Times New Roman" w:cs="Times New Roman"/>
        </w:rPr>
      </w:pPr>
      <w:r w:rsidRPr="00970C35">
        <w:rPr>
          <w:rFonts w:ascii="Times New Roman" w:hAnsi="Times New Roman" w:cs="Times New Roman"/>
        </w:rPr>
        <w:t xml:space="preserve">To </w:t>
      </w:r>
      <w:r w:rsidR="00DC080A" w:rsidRPr="00970C35">
        <w:rPr>
          <w:rFonts w:ascii="Times New Roman" w:hAnsi="Times New Roman" w:cs="Times New Roman"/>
        </w:rPr>
        <w:t>address the possibility that</w:t>
      </w:r>
      <w:r w:rsidRPr="00970C35">
        <w:rPr>
          <w:rFonts w:ascii="Times New Roman" w:hAnsi="Times New Roman" w:cs="Times New Roman"/>
        </w:rPr>
        <w:t xml:space="preserve"> our cross-country results in section 4</w:t>
      </w:r>
      <w:r w:rsidR="00DC080A" w:rsidRPr="00970C35">
        <w:rPr>
          <w:rFonts w:ascii="Times New Roman" w:hAnsi="Times New Roman" w:cs="Times New Roman"/>
        </w:rPr>
        <w:t xml:space="preserve"> are dominated by countries with the largest number of observations</w:t>
      </w:r>
      <w:r w:rsidRPr="00970C35">
        <w:rPr>
          <w:rFonts w:ascii="Times New Roman" w:hAnsi="Times New Roman" w:cs="Times New Roman"/>
        </w:rPr>
        <w:t>, we re</w:t>
      </w:r>
      <w:r w:rsidR="0028036E" w:rsidRPr="00970C35">
        <w:rPr>
          <w:rFonts w:ascii="Times New Roman" w:hAnsi="Times New Roman" w:cs="Times New Roman"/>
        </w:rPr>
        <w:t>-</w:t>
      </w:r>
      <w:r w:rsidRPr="00970C35">
        <w:rPr>
          <w:rFonts w:ascii="Times New Roman" w:hAnsi="Times New Roman" w:cs="Times New Roman"/>
        </w:rPr>
        <w:t>run our</w:t>
      </w:r>
      <w:r w:rsidR="00DC080A" w:rsidRPr="00970C35">
        <w:rPr>
          <w:rFonts w:ascii="Times New Roman" w:hAnsi="Times New Roman" w:cs="Times New Roman"/>
        </w:rPr>
        <w:t xml:space="preserve"> panel</w:t>
      </w:r>
      <w:r w:rsidRPr="00970C35">
        <w:rPr>
          <w:rFonts w:ascii="Times New Roman" w:hAnsi="Times New Roman" w:cs="Times New Roman"/>
        </w:rPr>
        <w:t xml:space="preserve"> regressions at </w:t>
      </w:r>
      <w:r w:rsidR="0028036E" w:rsidRPr="00970C35">
        <w:rPr>
          <w:rFonts w:ascii="Times New Roman" w:hAnsi="Times New Roman" w:cs="Times New Roman"/>
        </w:rPr>
        <w:t xml:space="preserve">the </w:t>
      </w:r>
      <w:r w:rsidRPr="00970C35">
        <w:rPr>
          <w:rFonts w:ascii="Times New Roman" w:hAnsi="Times New Roman" w:cs="Times New Roman"/>
        </w:rPr>
        <w:t>country</w:t>
      </w:r>
      <w:r w:rsidR="0058398B" w:rsidRPr="00970C35">
        <w:rPr>
          <w:rFonts w:ascii="Times New Roman" w:hAnsi="Times New Roman" w:cs="Times New Roman"/>
        </w:rPr>
        <w:t>-year</w:t>
      </w:r>
      <w:r w:rsidRPr="00970C35">
        <w:rPr>
          <w:rFonts w:ascii="Times New Roman" w:hAnsi="Times New Roman" w:cs="Times New Roman"/>
        </w:rPr>
        <w:t xml:space="preserve"> level instead of firm</w:t>
      </w:r>
      <w:r w:rsidR="0058398B" w:rsidRPr="00970C35">
        <w:rPr>
          <w:rFonts w:ascii="Times New Roman" w:hAnsi="Times New Roman" w:cs="Times New Roman"/>
        </w:rPr>
        <w:t>-year</w:t>
      </w:r>
      <w:r w:rsidRPr="00970C35">
        <w:rPr>
          <w:rFonts w:ascii="Times New Roman" w:hAnsi="Times New Roman" w:cs="Times New Roman"/>
        </w:rPr>
        <w:t xml:space="preserve"> level</w:t>
      </w:r>
      <w:r w:rsidR="00DC080A" w:rsidRPr="00970C35">
        <w:rPr>
          <w:rFonts w:ascii="Times New Roman" w:hAnsi="Times New Roman" w:cs="Times New Roman"/>
        </w:rPr>
        <w:t xml:space="preserve"> so that each country is weighted equally</w:t>
      </w:r>
      <w:r w:rsidRPr="00970C35">
        <w:rPr>
          <w:rFonts w:ascii="Times New Roman" w:hAnsi="Times New Roman" w:cs="Times New Roman"/>
        </w:rPr>
        <w:t xml:space="preserve">. We calculate the average of each of the variables in our regressions at </w:t>
      </w:r>
      <w:r w:rsidR="0028036E" w:rsidRPr="00970C35">
        <w:rPr>
          <w:rFonts w:ascii="Times New Roman" w:hAnsi="Times New Roman" w:cs="Times New Roman"/>
        </w:rPr>
        <w:t xml:space="preserve">the </w:t>
      </w:r>
      <w:r w:rsidRPr="00970C35">
        <w:rPr>
          <w:rFonts w:ascii="Times New Roman" w:hAnsi="Times New Roman" w:cs="Times New Roman"/>
        </w:rPr>
        <w:t>country level in each year to come up with a panel of country-year-quarter observations. As in section 4, we lump observations in the first three fiscal quarters in a certain year and compare them with those in the fourth fiscal quarter</w:t>
      </w:r>
      <w:r w:rsidR="0028036E" w:rsidRPr="00970C35">
        <w:rPr>
          <w:rFonts w:ascii="Times New Roman" w:hAnsi="Times New Roman" w:cs="Times New Roman"/>
        </w:rPr>
        <w:t>,</w:t>
      </w:r>
      <w:r w:rsidRPr="00970C35">
        <w:rPr>
          <w:rFonts w:ascii="Times New Roman" w:hAnsi="Times New Roman" w:cs="Times New Roman"/>
        </w:rPr>
        <w:t xml:space="preserve"> and regress aggregate capital expenditures on the fourth quarter dummy, country characteristics, and the interaction of the two, controlling for other variables as in Table 5, also aggregated at</w:t>
      </w:r>
      <w:r w:rsidR="0028036E" w:rsidRPr="00970C35">
        <w:rPr>
          <w:rFonts w:ascii="Times New Roman" w:hAnsi="Times New Roman" w:cs="Times New Roman"/>
        </w:rPr>
        <w:t xml:space="preserve"> the</w:t>
      </w:r>
      <w:r w:rsidRPr="00970C35">
        <w:rPr>
          <w:rFonts w:ascii="Times New Roman" w:hAnsi="Times New Roman" w:cs="Times New Roman"/>
        </w:rPr>
        <w:t xml:space="preserve"> country level. O</w:t>
      </w:r>
      <w:r w:rsidR="0058398B" w:rsidRPr="00970C35">
        <w:rPr>
          <w:rFonts w:ascii="Times New Roman" w:hAnsi="Times New Roman" w:cs="Times New Roman"/>
        </w:rPr>
        <w:t xml:space="preserve">ur </w:t>
      </w:r>
      <w:r w:rsidR="00DC080A" w:rsidRPr="00970C35">
        <w:rPr>
          <w:rFonts w:ascii="Times New Roman" w:hAnsi="Times New Roman" w:cs="Times New Roman"/>
        </w:rPr>
        <w:t xml:space="preserve">main </w:t>
      </w:r>
      <w:r w:rsidR="0058398B" w:rsidRPr="00970C35">
        <w:rPr>
          <w:rFonts w:ascii="Times New Roman" w:hAnsi="Times New Roman" w:cs="Times New Roman"/>
        </w:rPr>
        <w:t xml:space="preserve">results are shown in </w:t>
      </w:r>
      <w:r w:rsidR="0028036E" w:rsidRPr="00970C35">
        <w:rPr>
          <w:rFonts w:ascii="Times New Roman" w:hAnsi="Times New Roman" w:cs="Times New Roman"/>
        </w:rPr>
        <w:t>Table 6 Panel B</w:t>
      </w:r>
      <w:r w:rsidRPr="00970C35">
        <w:rPr>
          <w:rFonts w:ascii="Times New Roman" w:hAnsi="Times New Roman" w:cs="Times New Roman"/>
        </w:rPr>
        <w:t>. To save space, we place all the interaction variables between country-level characteristics and fourth-quarter dummy in the third to last row.</w:t>
      </w:r>
    </w:p>
    <w:p w:rsidR="0028036E" w:rsidRPr="00970C35" w:rsidRDefault="0028036E" w:rsidP="0028036E">
      <w:pPr>
        <w:spacing w:after="240" w:line="480" w:lineRule="auto"/>
        <w:jc w:val="center"/>
        <w:rPr>
          <w:rFonts w:ascii="Times New Roman" w:hAnsi="Times New Roman" w:cs="Times New Roman"/>
        </w:rPr>
      </w:pPr>
      <w:r w:rsidRPr="00970C35">
        <w:rPr>
          <w:rFonts w:ascii="Times New Roman" w:hAnsi="Times New Roman" w:cs="Times New Roman"/>
        </w:rPr>
        <w:lastRenderedPageBreak/>
        <w:t>[Insert Table 6 here]</w:t>
      </w:r>
    </w:p>
    <w:p w:rsidR="00821BD4" w:rsidRPr="00970C35" w:rsidRDefault="0028036E" w:rsidP="00F47AA0">
      <w:pPr>
        <w:autoSpaceDE w:val="0"/>
        <w:autoSpaceDN w:val="0"/>
        <w:adjustRightInd w:val="0"/>
        <w:spacing w:after="0" w:line="480" w:lineRule="auto"/>
        <w:ind w:firstLine="288"/>
        <w:jc w:val="both"/>
        <w:rPr>
          <w:rFonts w:ascii="Times New Roman" w:hAnsi="Times New Roman" w:cs="Times New Roman"/>
        </w:rPr>
      </w:pPr>
      <w:r w:rsidRPr="00970C35">
        <w:rPr>
          <w:rFonts w:ascii="Times New Roman" w:hAnsi="Times New Roman" w:cs="Times New Roman"/>
        </w:rPr>
        <w:t>As can be seen in Table 6, t</w:t>
      </w:r>
      <w:r w:rsidR="00821BD4" w:rsidRPr="00970C35">
        <w:rPr>
          <w:rFonts w:ascii="Times New Roman" w:hAnsi="Times New Roman" w:cs="Times New Roman"/>
        </w:rPr>
        <w:t xml:space="preserve">he interaction terms between fourth-quarter dummy and the three legal environment variables have the expected signs and are statistically significant. Similar to </w:t>
      </w:r>
      <w:r w:rsidR="00095096" w:rsidRPr="00970C35">
        <w:rPr>
          <w:rFonts w:ascii="Times New Roman" w:hAnsi="Times New Roman" w:cs="Times New Roman"/>
        </w:rPr>
        <w:t xml:space="preserve">our results in </w:t>
      </w:r>
      <w:r w:rsidR="00821BD4" w:rsidRPr="00970C35">
        <w:rPr>
          <w:rFonts w:ascii="Times New Roman" w:hAnsi="Times New Roman" w:cs="Times New Roman"/>
        </w:rPr>
        <w:t>section 4, the variables in the investor rights and protection category</w:t>
      </w:r>
      <w:r w:rsidR="00095096" w:rsidRPr="00970C35">
        <w:rPr>
          <w:rFonts w:ascii="Times New Roman" w:hAnsi="Times New Roman" w:cs="Times New Roman"/>
        </w:rPr>
        <w:t xml:space="preserve"> generally have coefficients that are</w:t>
      </w:r>
      <w:r w:rsidR="0058398B" w:rsidRPr="00970C35">
        <w:rPr>
          <w:rFonts w:ascii="Times New Roman" w:hAnsi="Times New Roman" w:cs="Times New Roman"/>
        </w:rPr>
        <w:t xml:space="preserve"> statistically significant</w:t>
      </w:r>
      <w:r w:rsidR="00821BD4" w:rsidRPr="00970C35">
        <w:rPr>
          <w:rFonts w:ascii="Times New Roman" w:hAnsi="Times New Roman" w:cs="Times New Roman"/>
        </w:rPr>
        <w:t xml:space="preserve">. For </w:t>
      </w:r>
      <w:r w:rsidR="00FB55ED" w:rsidRPr="00970C35">
        <w:rPr>
          <w:rFonts w:ascii="Times New Roman" w:hAnsi="Times New Roman" w:cs="Times New Roman"/>
        </w:rPr>
        <w:t xml:space="preserve">anti-director, </w:t>
      </w:r>
      <w:r w:rsidR="00821BD4" w:rsidRPr="00970C35">
        <w:rPr>
          <w:rFonts w:ascii="Times New Roman" w:hAnsi="Times New Roman" w:cs="Times New Roman"/>
        </w:rPr>
        <w:t xml:space="preserve">anti-self-dealing, </w:t>
      </w:r>
      <w:r w:rsidR="00FB55ED" w:rsidRPr="00970C35">
        <w:rPr>
          <w:rFonts w:ascii="Times New Roman" w:hAnsi="Times New Roman" w:cs="Times New Roman"/>
        </w:rPr>
        <w:t>accounting quality, and the earnings management index</w:t>
      </w:r>
      <w:r w:rsidR="00821BD4" w:rsidRPr="00970C35">
        <w:rPr>
          <w:rFonts w:ascii="Times New Roman" w:hAnsi="Times New Roman" w:cs="Times New Roman"/>
        </w:rPr>
        <w:t xml:space="preserve">, the results are statistically significant at </w:t>
      </w:r>
      <w:r w:rsidRPr="00970C35">
        <w:rPr>
          <w:rFonts w:ascii="Times New Roman" w:hAnsi="Times New Roman" w:cs="Times New Roman"/>
        </w:rPr>
        <w:t xml:space="preserve">the </w:t>
      </w:r>
      <w:r w:rsidR="00821BD4" w:rsidRPr="00970C35">
        <w:rPr>
          <w:rFonts w:ascii="Times New Roman" w:hAnsi="Times New Roman" w:cs="Times New Roman"/>
        </w:rPr>
        <w:t>5% level or higher, but for disclosure index</w:t>
      </w:r>
      <w:r w:rsidR="00095096" w:rsidRPr="00970C35">
        <w:rPr>
          <w:rFonts w:ascii="Times New Roman" w:hAnsi="Times New Roman" w:cs="Times New Roman"/>
        </w:rPr>
        <w:t xml:space="preserve"> and Common Law dummy variable</w:t>
      </w:r>
      <w:r w:rsidR="00821BD4" w:rsidRPr="00970C35">
        <w:rPr>
          <w:rFonts w:ascii="Times New Roman" w:hAnsi="Times New Roman" w:cs="Times New Roman"/>
        </w:rPr>
        <w:t xml:space="preserve">, the results are significant only at </w:t>
      </w:r>
      <w:r w:rsidRPr="00970C35">
        <w:rPr>
          <w:rFonts w:ascii="Times New Roman" w:hAnsi="Times New Roman" w:cs="Times New Roman"/>
        </w:rPr>
        <w:t xml:space="preserve">the </w:t>
      </w:r>
      <w:r w:rsidR="00821BD4" w:rsidRPr="00970C35">
        <w:rPr>
          <w:rFonts w:ascii="Times New Roman" w:hAnsi="Times New Roman" w:cs="Times New Roman"/>
        </w:rPr>
        <w:t xml:space="preserve">10% level. Nevertheless, all items have signs as expected. </w:t>
      </w:r>
      <w:r w:rsidR="00FB55ED" w:rsidRPr="00970C35">
        <w:rPr>
          <w:rFonts w:ascii="Times New Roman" w:hAnsi="Times New Roman" w:cs="Times New Roman"/>
        </w:rPr>
        <w:t>As f</w:t>
      </w:r>
      <w:r w:rsidR="00821BD4" w:rsidRPr="00970C35">
        <w:rPr>
          <w:rFonts w:ascii="Times New Roman" w:hAnsi="Times New Roman" w:cs="Times New Roman"/>
        </w:rPr>
        <w:t xml:space="preserve">or the financial markets development measures, the results are similar to those in section 4. </w:t>
      </w:r>
      <w:r w:rsidR="003F2301" w:rsidRPr="00970C35">
        <w:rPr>
          <w:rFonts w:ascii="Times New Roman" w:hAnsi="Times New Roman" w:cs="Times New Roman"/>
        </w:rPr>
        <w:t xml:space="preserve">Again, </w:t>
      </w:r>
      <w:r w:rsidR="00821BD4" w:rsidRPr="00970C35">
        <w:rPr>
          <w:rFonts w:ascii="Times New Roman" w:hAnsi="Times New Roman" w:cs="Times New Roman"/>
        </w:rPr>
        <w:t xml:space="preserve">credit market development </w:t>
      </w:r>
      <w:r w:rsidRPr="00970C35">
        <w:rPr>
          <w:rFonts w:ascii="Times New Roman" w:hAnsi="Times New Roman" w:cs="Times New Roman"/>
        </w:rPr>
        <w:t>appears</w:t>
      </w:r>
      <w:r w:rsidR="00821BD4" w:rsidRPr="00970C35">
        <w:rPr>
          <w:rFonts w:ascii="Times New Roman" w:hAnsi="Times New Roman" w:cs="Times New Roman"/>
        </w:rPr>
        <w:t xml:space="preserve"> to be the </w:t>
      </w:r>
      <w:r w:rsidR="003F2301" w:rsidRPr="00970C35">
        <w:rPr>
          <w:rFonts w:ascii="Times New Roman" w:hAnsi="Times New Roman" w:cs="Times New Roman"/>
        </w:rPr>
        <w:t>dominating</w:t>
      </w:r>
      <w:r w:rsidR="00821BD4" w:rsidRPr="00970C35">
        <w:rPr>
          <w:rFonts w:ascii="Times New Roman" w:hAnsi="Times New Roman" w:cs="Times New Roman"/>
        </w:rPr>
        <w:t xml:space="preserve"> factor in the financial market development</w:t>
      </w:r>
      <w:r w:rsidR="003F2301" w:rsidRPr="00970C35">
        <w:rPr>
          <w:rFonts w:ascii="Times New Roman" w:hAnsi="Times New Roman" w:cs="Times New Roman"/>
        </w:rPr>
        <w:t xml:space="preserve"> when it comes to affecting firm</w:t>
      </w:r>
      <w:r w:rsidRPr="00970C35">
        <w:rPr>
          <w:rFonts w:ascii="Times New Roman" w:hAnsi="Times New Roman" w:cs="Times New Roman"/>
        </w:rPr>
        <w:t>s</w:t>
      </w:r>
      <w:r w:rsidR="003F2301" w:rsidRPr="00970C35">
        <w:rPr>
          <w:rFonts w:ascii="Times New Roman" w:hAnsi="Times New Roman" w:cs="Times New Roman"/>
        </w:rPr>
        <w:t>’ CapEx</w:t>
      </w:r>
      <w:r w:rsidR="00821BD4" w:rsidRPr="00970C35">
        <w:rPr>
          <w:rFonts w:ascii="Times New Roman" w:hAnsi="Times New Roman" w:cs="Times New Roman"/>
        </w:rPr>
        <w:t xml:space="preserve">, whereas equity market development and even financial market development overall are not </w:t>
      </w:r>
      <w:r w:rsidR="003F2301" w:rsidRPr="00970C35">
        <w:rPr>
          <w:rFonts w:ascii="Times New Roman" w:hAnsi="Times New Roman" w:cs="Times New Roman"/>
        </w:rPr>
        <w:t>as</w:t>
      </w:r>
      <w:r w:rsidR="00821BD4" w:rsidRPr="00970C35">
        <w:rPr>
          <w:rFonts w:ascii="Times New Roman" w:hAnsi="Times New Roman" w:cs="Times New Roman"/>
        </w:rPr>
        <w:t xml:space="preserve"> significant. This</w:t>
      </w:r>
      <w:r w:rsidR="00C462AD" w:rsidRPr="00970C35">
        <w:rPr>
          <w:rFonts w:ascii="Times New Roman" w:hAnsi="Times New Roman" w:cs="Times New Roman"/>
        </w:rPr>
        <w:t>,</w:t>
      </w:r>
      <w:r w:rsidR="00821BD4" w:rsidRPr="00970C35">
        <w:rPr>
          <w:rFonts w:ascii="Times New Roman" w:hAnsi="Times New Roman" w:cs="Times New Roman"/>
        </w:rPr>
        <w:t xml:space="preserve"> </w:t>
      </w:r>
      <w:r w:rsidR="00FB55ED" w:rsidRPr="00970C35">
        <w:rPr>
          <w:rFonts w:ascii="Times New Roman" w:hAnsi="Times New Roman" w:cs="Times New Roman"/>
        </w:rPr>
        <w:t>again</w:t>
      </w:r>
      <w:r w:rsidR="00821BD4" w:rsidRPr="00970C35">
        <w:rPr>
          <w:rFonts w:ascii="Times New Roman" w:hAnsi="Times New Roman" w:cs="Times New Roman"/>
        </w:rPr>
        <w:t xml:space="preserve">, </w:t>
      </w:r>
      <w:r w:rsidR="00FB55ED" w:rsidRPr="00970C35">
        <w:rPr>
          <w:rFonts w:ascii="Times New Roman" w:hAnsi="Times New Roman" w:cs="Times New Roman"/>
        </w:rPr>
        <w:t>confirms</w:t>
      </w:r>
      <w:r w:rsidR="00821BD4" w:rsidRPr="00970C35">
        <w:rPr>
          <w:rFonts w:ascii="Times New Roman" w:hAnsi="Times New Roman" w:cs="Times New Roman"/>
        </w:rPr>
        <w:t xml:space="preserve"> the </w:t>
      </w:r>
      <w:r w:rsidR="00FB55ED" w:rsidRPr="00970C35">
        <w:rPr>
          <w:rFonts w:ascii="Times New Roman" w:hAnsi="Times New Roman" w:cs="Times New Roman"/>
        </w:rPr>
        <w:t xml:space="preserve">evidence in the corporate investment </w:t>
      </w:r>
      <w:r w:rsidR="00821BD4" w:rsidRPr="00970C35">
        <w:rPr>
          <w:rFonts w:ascii="Times New Roman" w:hAnsi="Times New Roman" w:cs="Times New Roman"/>
        </w:rPr>
        <w:t xml:space="preserve">literature </w:t>
      </w:r>
      <w:r w:rsidR="00FB55ED" w:rsidRPr="00970C35">
        <w:rPr>
          <w:rFonts w:ascii="Times New Roman" w:hAnsi="Times New Roman" w:cs="Times New Roman"/>
        </w:rPr>
        <w:t>that credit market is more important for firm</w:t>
      </w:r>
      <w:r w:rsidR="00C462AD" w:rsidRPr="00970C35">
        <w:rPr>
          <w:rFonts w:ascii="Times New Roman" w:hAnsi="Times New Roman" w:cs="Times New Roman"/>
        </w:rPr>
        <w:t>s</w:t>
      </w:r>
      <w:r w:rsidR="00FB55ED" w:rsidRPr="00970C35">
        <w:rPr>
          <w:rFonts w:ascii="Times New Roman" w:hAnsi="Times New Roman" w:cs="Times New Roman"/>
        </w:rPr>
        <w:t>’ fixed investment compared with equity market.</w:t>
      </w:r>
      <w:r w:rsidR="00821BD4" w:rsidRPr="00970C35">
        <w:rPr>
          <w:rFonts w:ascii="Times New Roman" w:hAnsi="Times New Roman" w:cs="Times New Roman"/>
        </w:rPr>
        <w:t xml:space="preserve"> </w:t>
      </w:r>
      <w:r w:rsidR="00FB55ED" w:rsidRPr="00970C35">
        <w:rPr>
          <w:rFonts w:ascii="Times New Roman" w:hAnsi="Times New Roman" w:cs="Times New Roman"/>
        </w:rPr>
        <w:t>It is also consistent with our earlier</w:t>
      </w:r>
      <w:r w:rsidR="00821BD4" w:rsidRPr="00970C35">
        <w:rPr>
          <w:rFonts w:ascii="Times New Roman" w:hAnsi="Times New Roman" w:cs="Times New Roman"/>
        </w:rPr>
        <w:t xml:space="preserve"> evidence in Table 5 Panel </w:t>
      </w:r>
      <w:r w:rsidR="00FB55ED" w:rsidRPr="00970C35">
        <w:rPr>
          <w:rFonts w:ascii="Times New Roman" w:hAnsi="Times New Roman" w:cs="Times New Roman"/>
        </w:rPr>
        <w:t>B</w:t>
      </w:r>
      <w:r w:rsidR="00821BD4" w:rsidRPr="00970C35">
        <w:rPr>
          <w:rFonts w:ascii="Times New Roman" w:hAnsi="Times New Roman" w:cs="Times New Roman"/>
        </w:rPr>
        <w:t xml:space="preserve">. </w:t>
      </w:r>
    </w:p>
    <w:p w:rsidR="00E35FCE" w:rsidRPr="00970C35" w:rsidRDefault="00E35FCE" w:rsidP="00246320">
      <w:pPr>
        <w:autoSpaceDE w:val="0"/>
        <w:autoSpaceDN w:val="0"/>
        <w:adjustRightInd w:val="0"/>
        <w:spacing w:after="0" w:line="480" w:lineRule="auto"/>
        <w:jc w:val="both"/>
        <w:rPr>
          <w:rFonts w:ascii="Times New Roman" w:hAnsi="Times New Roman" w:cs="Times New Roman"/>
        </w:rPr>
      </w:pPr>
      <w:r w:rsidRPr="00970C35">
        <w:rPr>
          <w:rFonts w:ascii="Times New Roman" w:hAnsi="Times New Roman" w:cs="Times New Roman"/>
        </w:rPr>
        <w:t>5.</w:t>
      </w:r>
      <w:r w:rsidR="0018557B" w:rsidRPr="00970C35">
        <w:rPr>
          <w:rFonts w:ascii="Times New Roman" w:hAnsi="Times New Roman" w:cs="Times New Roman"/>
        </w:rPr>
        <w:t>3</w:t>
      </w:r>
      <w:r w:rsidRPr="00970C35">
        <w:rPr>
          <w:rFonts w:ascii="Times New Roman" w:hAnsi="Times New Roman" w:cs="Times New Roman"/>
        </w:rPr>
        <w:t xml:space="preserve">. Industry </w:t>
      </w:r>
      <w:r w:rsidR="006269D6" w:rsidRPr="00970C35">
        <w:rPr>
          <w:rFonts w:ascii="Times New Roman" w:hAnsi="Times New Roman" w:cs="Times New Roman"/>
        </w:rPr>
        <w:t>A</w:t>
      </w:r>
      <w:r w:rsidRPr="00970C35">
        <w:rPr>
          <w:rFonts w:ascii="Times New Roman" w:hAnsi="Times New Roman" w:cs="Times New Roman"/>
        </w:rPr>
        <w:t>djustment</w:t>
      </w:r>
    </w:p>
    <w:p w:rsidR="00E35FCE" w:rsidRPr="00970C35" w:rsidRDefault="00E35FCE" w:rsidP="0017326C">
      <w:pPr>
        <w:autoSpaceDE w:val="0"/>
        <w:autoSpaceDN w:val="0"/>
        <w:adjustRightInd w:val="0"/>
        <w:spacing w:after="120" w:line="480" w:lineRule="auto"/>
        <w:jc w:val="both"/>
        <w:rPr>
          <w:rFonts w:ascii="Times New Roman" w:hAnsi="Times New Roman" w:cs="Times New Roman"/>
        </w:rPr>
      </w:pPr>
      <w:r w:rsidRPr="00970C35">
        <w:rPr>
          <w:rFonts w:ascii="Times New Roman" w:hAnsi="Times New Roman" w:cs="Times New Roman"/>
        </w:rPr>
        <w:t xml:space="preserve">In our previous regressions, we control for industry-time fixed effects to control for time-varying investment opportunities. However, one could </w:t>
      </w:r>
      <w:r w:rsidR="00EB515C" w:rsidRPr="00970C35">
        <w:rPr>
          <w:rFonts w:ascii="Times New Roman" w:hAnsi="Times New Roman" w:cs="Times New Roman"/>
        </w:rPr>
        <w:t xml:space="preserve">still </w:t>
      </w:r>
      <w:r w:rsidRPr="00970C35">
        <w:rPr>
          <w:rFonts w:ascii="Times New Roman" w:hAnsi="Times New Roman" w:cs="Times New Roman"/>
        </w:rPr>
        <w:t xml:space="preserve">argue that the results we obtain so far are due to some confounding industry effects. For example, </w:t>
      </w:r>
      <w:r w:rsidR="0017326C" w:rsidRPr="00970C35">
        <w:rPr>
          <w:rFonts w:ascii="Times New Roman" w:hAnsi="Times New Roman" w:cs="Times New Roman"/>
        </w:rPr>
        <w:t>it is plausible that certain industries are more prevalent in certain countries, and the results we find earlier are because the “fourth quarter effect” is more salient in certain industries rather than countries. To address this issue,</w:t>
      </w:r>
      <w:r w:rsidRPr="00970C35">
        <w:rPr>
          <w:rFonts w:ascii="Times New Roman" w:hAnsi="Times New Roman" w:cs="Times New Roman"/>
        </w:rPr>
        <w:t xml:space="preserve"> we also adjust all firm-specific variables following the method </w:t>
      </w:r>
      <w:r w:rsidR="0017326C" w:rsidRPr="00970C35">
        <w:rPr>
          <w:rFonts w:ascii="Times New Roman" w:hAnsi="Times New Roman" w:cs="Times New Roman"/>
        </w:rPr>
        <w:t>in</w:t>
      </w:r>
      <w:r w:rsidRPr="00970C35">
        <w:rPr>
          <w:rFonts w:ascii="Times New Roman" w:hAnsi="Times New Roman" w:cs="Times New Roman"/>
        </w:rPr>
        <w:t xml:space="preserve"> </w:t>
      </w:r>
      <w:r w:rsidR="0017326C"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"10.2307/222549", "ISBN" : "0022-1082", "ISSN" : "00221082", "abstract" : "Higher Dividend Payout ratio for common vs. code law countries, however, Germany has a higher ratio than the US or UK...See p. 14; Deutschland hat auch einen h\u00f6heren Wert als der Median der Common Law Countries, EVENTUELL \u00dcBER DIE BESONDERHEITEN DES DEUTSCHEN SYSTEMS (INSBEOSNDERE IN VERBINDUNG MIT DEN STEUERN) ZU ERKL\u00c4REN", "author" : [ { "dropping-particle" : "", "family" : "Porta", "given" : "Rafael", "non-dropping-particle" : "La", "parse-names" : false, "suffix" : "" }, { "dropping-particle" : "", "family" : "Lopez-De-Silanes", "given" : "Florencio", "non-dropping-particle" : "", "parse-names" : false, "suffix" : "" }, { "dropping-particle" : "", "family" : "Shleifer", "given" : "Andrei", "non-dropping-particle" : "", "parse-names" : false, "suffix" : "" }, { "dropping-particle" : "", "family" : "Vishny", "given" : "Robert W.", "non-dropping-particle" : "", "parse-names" : false, "suffix" : "" } ], "container-title" : "the Journal of Finance", "id" : "ITEM-1", "issue" : "1", "issued" : { "date-parts" : [ [ "2000" ] ] }, "page" : "1-33", "title" : "Agency Problems and Dividend Policies Around the World", "type" : "article-journal", "volume" : "55" }, "uris" : [ "http://www.mendeley.com/documents/?uuid=88d7cf56-d67e-482f-939c-d25cff632e11" ] } ], "mendeley" : { "formattedCitation" : "La Porta et al. (2000)", "manualFormatting" : "LLSV (2000)", "plainTextFormattedCitation" : "La Porta et al. (2000)", "previouslyFormattedCitation" : "La Porta et al. (2000)" }, "properties" : { "noteIndex" : 0 }, "schema" : "https://github.com/citation-style-language/schema/raw/master/csl-citation.json" }</w:instrText>
      </w:r>
      <w:r w:rsidR="0017326C" w:rsidRPr="00970C35">
        <w:rPr>
          <w:rFonts w:ascii="Times New Roman" w:hAnsi="Times New Roman" w:cs="Times New Roman"/>
        </w:rPr>
        <w:fldChar w:fldCharType="separate"/>
      </w:r>
      <w:r w:rsidR="0017326C" w:rsidRPr="00970C35">
        <w:rPr>
          <w:rFonts w:ascii="Times New Roman" w:hAnsi="Times New Roman" w:cs="Times New Roman"/>
          <w:noProof/>
        </w:rPr>
        <w:t>LLSV (2000)</w:t>
      </w:r>
      <w:r w:rsidR="0017326C" w:rsidRPr="00970C35">
        <w:rPr>
          <w:rFonts w:ascii="Times New Roman" w:hAnsi="Times New Roman" w:cs="Times New Roman"/>
        </w:rPr>
        <w:fldChar w:fldCharType="end"/>
      </w:r>
      <w:r w:rsidRPr="00970C35">
        <w:rPr>
          <w:rFonts w:ascii="Times New Roman" w:hAnsi="Times New Roman" w:cs="Times New Roman"/>
        </w:rPr>
        <w:t xml:space="preserve"> </w:t>
      </w:r>
      <w:r w:rsidR="0017326C" w:rsidRPr="00970C35">
        <w:rPr>
          <w:rFonts w:ascii="Times New Roman" w:hAnsi="Times New Roman" w:cs="Times New Roman"/>
        </w:rPr>
        <w:t xml:space="preserve">and </w:t>
      </w:r>
      <w:r w:rsidR="0017326C"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"10.1016/j.jfineco.2008.03.007", "ISBN" : "0304-405X", "ISSN" : "0304405X", "abstract" : "We show that country-level creditor rights influence dividend policies around the world by establishing the balance of power between debt and equity claimants. Creditors demand and managers consent to a more restrictive payout policy as a substitute for weak creditor rights in an effort to minimize the firm's agency costs of debt. Using a sample of 120,507 firm-years from 52 countries, we find that both the probability and amount of dividend payouts are significantly lower in countries with poor creditor rights. A reduction in the creditor rights index from its highest value to its lowest value implies a 41% reduction in the probability of paying a dividend, and a 60% reduction in dividend payout ratios. These results are robust to numerous control variables, sample variations, model specifications, and alternative hypotheses. We also show that the agency costs of debt play a more decisive role in determining dividend policies than the previously documented agency costs of equity. Overall, our findings contribute to the growing literature arguing that creditors exert significant influence over corporate decision-making outside of bankruptcy. \u00a9 2009 Elsevier B.V. All rights reserved.", "author" : [ { "dropping-particle" : "", "family" : "Brockman", "given" : "Paul", "non-dropping-particle" : "", "parse-names" : false, "suffix" : "" }, { "dropping-particle" : "", "family" : "Unlu", "given" : "Emre", "non-dropping-particle" : "", "parse-names" : false, "suffix" : "" } ], "container-title" : "Journal of Financial Economics", "id" : "ITEM-1", "issue" : "2", "issued" : { "date-parts" : [ [ "2009" ] ] }, "page" : "276-299", "title" : "Dividend policy, creditor rights, and the agency costs of debt", "type" : "article-journal", "volume" : "92" }, "uris" : [ "http://www.mendeley.com/documents/?uuid=dddb2ad8-e5f6-4296-9bd6-0bd0a42cf55e" ] } ], "mendeley" : { "formattedCitation" : "Brockman and Unlu (2009)", "plainTextFormattedCitation" : "Brockman and Unlu (2009)", "previouslyFormattedCitation" : "Brockman and Unlu (2009)" }, "properties" : { "noteIndex" : 0 }, "schema" : "https://github.com/citation-style-language/schema/raw/master/csl-citation.json" }</w:instrText>
      </w:r>
      <w:r w:rsidR="0017326C" w:rsidRPr="00970C35">
        <w:rPr>
          <w:rFonts w:ascii="Times New Roman" w:hAnsi="Times New Roman" w:cs="Times New Roman"/>
        </w:rPr>
        <w:fldChar w:fldCharType="separate"/>
      </w:r>
      <w:r w:rsidR="00C462AD" w:rsidRPr="00970C35">
        <w:rPr>
          <w:rFonts w:ascii="Times New Roman" w:hAnsi="Times New Roman" w:cs="Times New Roman"/>
          <w:noProof/>
        </w:rPr>
        <w:t>Brockman and Unlu (2009)</w:t>
      </w:r>
      <w:r w:rsidR="0017326C" w:rsidRPr="00970C35">
        <w:rPr>
          <w:rFonts w:ascii="Times New Roman" w:hAnsi="Times New Roman" w:cs="Times New Roman"/>
        </w:rPr>
        <w:fldChar w:fldCharType="end"/>
      </w:r>
      <w:r w:rsidRPr="00970C35">
        <w:rPr>
          <w:rFonts w:ascii="Times New Roman" w:hAnsi="Times New Roman" w:cs="Times New Roman"/>
        </w:rPr>
        <w:t xml:space="preserve">. First, we compute the industry median for each variable at the country level. </w:t>
      </w:r>
      <w:r w:rsidR="0017326C" w:rsidRPr="00970C35">
        <w:rPr>
          <w:rFonts w:ascii="Times New Roman" w:hAnsi="Times New Roman" w:cs="Times New Roman"/>
        </w:rPr>
        <w:t>We then</w:t>
      </w:r>
      <w:r w:rsidRPr="00970C35">
        <w:rPr>
          <w:rFonts w:ascii="Times New Roman" w:hAnsi="Times New Roman" w:cs="Times New Roman"/>
        </w:rPr>
        <w:t xml:space="preserve"> compute the median value of these first-stage medians across all countries. </w:t>
      </w:r>
      <w:r w:rsidR="0017326C" w:rsidRPr="00970C35">
        <w:rPr>
          <w:rFonts w:ascii="Times New Roman" w:hAnsi="Times New Roman" w:cs="Times New Roman"/>
        </w:rPr>
        <w:t>Finally</w:t>
      </w:r>
      <w:r w:rsidRPr="00970C35">
        <w:rPr>
          <w:rFonts w:ascii="Times New Roman" w:hAnsi="Times New Roman" w:cs="Times New Roman"/>
        </w:rPr>
        <w:t xml:space="preserve">, we subtract the global industry median from each </w:t>
      </w:r>
      <w:r w:rsidR="0017326C" w:rsidRPr="00970C35">
        <w:rPr>
          <w:rFonts w:ascii="Times New Roman" w:hAnsi="Times New Roman" w:cs="Times New Roman"/>
        </w:rPr>
        <w:t>firm-level variable used in our regressions</w:t>
      </w:r>
      <w:r w:rsidRPr="00970C35">
        <w:rPr>
          <w:rFonts w:ascii="Times New Roman" w:hAnsi="Times New Roman" w:cs="Times New Roman"/>
        </w:rPr>
        <w:t xml:space="preserve">. The </w:t>
      </w:r>
      <w:r w:rsidR="0017326C" w:rsidRPr="00970C35">
        <w:rPr>
          <w:rFonts w:ascii="Times New Roman" w:hAnsi="Times New Roman" w:cs="Times New Roman"/>
        </w:rPr>
        <w:t xml:space="preserve">regression </w:t>
      </w:r>
      <w:r w:rsidRPr="00970C35">
        <w:rPr>
          <w:rFonts w:ascii="Times New Roman" w:hAnsi="Times New Roman" w:cs="Times New Roman"/>
        </w:rPr>
        <w:t>results</w:t>
      </w:r>
      <w:r w:rsidR="0017326C" w:rsidRPr="00970C35">
        <w:rPr>
          <w:rFonts w:ascii="Times New Roman" w:hAnsi="Times New Roman" w:cs="Times New Roman"/>
        </w:rPr>
        <w:t xml:space="preserve"> using industry-adjusted variables</w:t>
      </w:r>
      <w:r w:rsidRPr="00970C35">
        <w:rPr>
          <w:rFonts w:ascii="Times New Roman" w:hAnsi="Times New Roman" w:cs="Times New Roman"/>
        </w:rPr>
        <w:t xml:space="preserve"> are </w:t>
      </w:r>
      <w:r w:rsidR="0017326C" w:rsidRPr="00970C35">
        <w:rPr>
          <w:rFonts w:ascii="Times New Roman" w:hAnsi="Times New Roman" w:cs="Times New Roman"/>
        </w:rPr>
        <w:t xml:space="preserve">presented in Table 7 Panel A </w:t>
      </w:r>
      <w:r w:rsidR="00525D0D" w:rsidRPr="00970C35">
        <w:rPr>
          <w:rFonts w:ascii="Times New Roman" w:hAnsi="Times New Roman" w:cs="Times New Roman"/>
        </w:rPr>
        <w:t xml:space="preserve">(full sample) </w:t>
      </w:r>
      <w:r w:rsidR="0017326C" w:rsidRPr="00970C35">
        <w:rPr>
          <w:rFonts w:ascii="Times New Roman" w:hAnsi="Times New Roman" w:cs="Times New Roman"/>
        </w:rPr>
        <w:t>and B</w:t>
      </w:r>
      <w:r w:rsidR="00525D0D" w:rsidRPr="00970C35">
        <w:rPr>
          <w:rFonts w:ascii="Times New Roman" w:hAnsi="Times New Roman" w:cs="Times New Roman"/>
        </w:rPr>
        <w:t xml:space="preserve"> (non-U</w:t>
      </w:r>
      <w:r w:rsidR="00C462AD" w:rsidRPr="00970C35">
        <w:rPr>
          <w:rFonts w:ascii="Times New Roman" w:hAnsi="Times New Roman" w:cs="Times New Roman"/>
        </w:rPr>
        <w:t>.</w:t>
      </w:r>
      <w:r w:rsidR="00525D0D" w:rsidRPr="00970C35">
        <w:rPr>
          <w:rFonts w:ascii="Times New Roman" w:hAnsi="Times New Roman" w:cs="Times New Roman"/>
        </w:rPr>
        <w:t>S</w:t>
      </w:r>
      <w:r w:rsidR="00C462AD" w:rsidRPr="00970C35">
        <w:rPr>
          <w:rFonts w:ascii="Times New Roman" w:hAnsi="Times New Roman" w:cs="Times New Roman"/>
        </w:rPr>
        <w:t>.</w:t>
      </w:r>
      <w:r w:rsidR="00525D0D" w:rsidRPr="00970C35">
        <w:rPr>
          <w:rFonts w:ascii="Times New Roman" w:hAnsi="Times New Roman" w:cs="Times New Roman"/>
        </w:rPr>
        <w:t xml:space="preserve"> subsample)</w:t>
      </w:r>
      <w:r w:rsidR="0017326C" w:rsidRPr="00970C35">
        <w:rPr>
          <w:rFonts w:ascii="Times New Roman" w:hAnsi="Times New Roman" w:cs="Times New Roman"/>
        </w:rPr>
        <w:t xml:space="preserve">, and are </w:t>
      </w:r>
      <w:r w:rsidRPr="00970C35">
        <w:rPr>
          <w:rFonts w:ascii="Times New Roman" w:hAnsi="Times New Roman" w:cs="Times New Roman"/>
        </w:rPr>
        <w:t>consistent with those reported in Table</w:t>
      </w:r>
      <w:r w:rsidR="0017326C" w:rsidRPr="00970C35">
        <w:rPr>
          <w:rFonts w:ascii="Times New Roman" w:hAnsi="Times New Roman" w:cs="Times New Roman"/>
        </w:rPr>
        <w:t xml:space="preserve"> 4 and 5</w:t>
      </w:r>
      <w:r w:rsidRPr="00970C35">
        <w:rPr>
          <w:rFonts w:ascii="Times New Roman" w:hAnsi="Times New Roman" w:cs="Times New Roman"/>
        </w:rPr>
        <w:t>.</w:t>
      </w:r>
      <w:r w:rsidR="007E131E" w:rsidRPr="00970C35">
        <w:rPr>
          <w:rFonts w:ascii="Times New Roman" w:hAnsi="Times New Roman" w:cs="Times New Roman"/>
        </w:rPr>
        <w:t xml:space="preserve"> These results </w:t>
      </w:r>
      <w:r w:rsidR="007E131E" w:rsidRPr="00970C35">
        <w:rPr>
          <w:rFonts w:ascii="Times New Roman" w:hAnsi="Times New Roman" w:cs="Times New Roman"/>
        </w:rPr>
        <w:lastRenderedPageBreak/>
        <w:t xml:space="preserve">reassure </w:t>
      </w:r>
      <w:r w:rsidR="00C462AD" w:rsidRPr="00970C35">
        <w:rPr>
          <w:rFonts w:ascii="Times New Roman" w:hAnsi="Times New Roman" w:cs="Times New Roman"/>
        </w:rPr>
        <w:t xml:space="preserve">us </w:t>
      </w:r>
      <w:r w:rsidR="007E131E" w:rsidRPr="00970C35">
        <w:rPr>
          <w:rFonts w:ascii="Times New Roman" w:hAnsi="Times New Roman" w:cs="Times New Roman"/>
        </w:rPr>
        <w:t xml:space="preserve">that </w:t>
      </w:r>
      <w:r w:rsidR="00C462AD" w:rsidRPr="00970C35">
        <w:rPr>
          <w:rFonts w:ascii="Times New Roman" w:hAnsi="Times New Roman" w:cs="Times New Roman"/>
        </w:rPr>
        <w:t>our earlier findings</w:t>
      </w:r>
      <w:r w:rsidR="007E131E" w:rsidRPr="00970C35">
        <w:rPr>
          <w:rFonts w:ascii="Times New Roman" w:hAnsi="Times New Roman" w:cs="Times New Roman"/>
        </w:rPr>
        <w:t xml:space="preserve"> are due to variations in country characteristics rather than industry variations across countries.</w:t>
      </w:r>
    </w:p>
    <w:p w:rsidR="00D87E41" w:rsidRPr="00970C35" w:rsidRDefault="00C462AD" w:rsidP="00D87E41">
      <w:pPr>
        <w:spacing w:after="240" w:line="480" w:lineRule="auto"/>
        <w:jc w:val="center"/>
        <w:rPr>
          <w:rFonts w:ascii="Times New Roman" w:hAnsi="Times New Roman" w:cs="Times New Roman"/>
        </w:rPr>
      </w:pPr>
      <w:r w:rsidRPr="00970C35">
        <w:rPr>
          <w:rFonts w:ascii="Times New Roman" w:hAnsi="Times New Roman" w:cs="Times New Roman"/>
        </w:rPr>
        <w:t>[</w:t>
      </w:r>
      <w:r w:rsidR="00D87E41" w:rsidRPr="00970C35">
        <w:rPr>
          <w:rFonts w:ascii="Times New Roman" w:hAnsi="Times New Roman" w:cs="Times New Roman"/>
        </w:rPr>
        <w:t>Insert Table 7 here</w:t>
      </w:r>
      <w:r w:rsidRPr="00970C35">
        <w:rPr>
          <w:rFonts w:ascii="Times New Roman" w:hAnsi="Times New Roman" w:cs="Times New Roman"/>
        </w:rPr>
        <w:t>]</w:t>
      </w:r>
    </w:p>
    <w:p w:rsidR="00E35FCE" w:rsidRPr="00970C35" w:rsidRDefault="00E35FCE" w:rsidP="00246320">
      <w:pPr>
        <w:autoSpaceDE w:val="0"/>
        <w:autoSpaceDN w:val="0"/>
        <w:adjustRightInd w:val="0"/>
        <w:spacing w:after="0" w:line="480" w:lineRule="auto"/>
        <w:jc w:val="both"/>
        <w:rPr>
          <w:rFonts w:ascii="Times New Roman" w:hAnsi="Times New Roman" w:cs="Times New Roman"/>
        </w:rPr>
      </w:pPr>
      <w:r w:rsidRPr="00970C35">
        <w:rPr>
          <w:rFonts w:ascii="Times New Roman" w:hAnsi="Times New Roman" w:cs="Times New Roman"/>
        </w:rPr>
        <w:t>5.</w:t>
      </w:r>
      <w:r w:rsidR="0018557B" w:rsidRPr="00970C35">
        <w:rPr>
          <w:rFonts w:ascii="Times New Roman" w:hAnsi="Times New Roman" w:cs="Times New Roman"/>
        </w:rPr>
        <w:t>4</w:t>
      </w:r>
      <w:r w:rsidRPr="00970C35">
        <w:rPr>
          <w:rFonts w:ascii="Times New Roman" w:hAnsi="Times New Roman" w:cs="Times New Roman"/>
        </w:rPr>
        <w:t xml:space="preserve">. Investment-q </w:t>
      </w:r>
      <w:r w:rsidR="006269D6" w:rsidRPr="00970C35">
        <w:rPr>
          <w:rFonts w:ascii="Times New Roman" w:hAnsi="Times New Roman" w:cs="Times New Roman"/>
        </w:rPr>
        <w:t>S</w:t>
      </w:r>
      <w:r w:rsidRPr="00970C35">
        <w:rPr>
          <w:rFonts w:ascii="Times New Roman" w:hAnsi="Times New Roman" w:cs="Times New Roman"/>
        </w:rPr>
        <w:t>ensitivity</w:t>
      </w:r>
    </w:p>
    <w:p w:rsidR="007E131E" w:rsidRPr="00970C35" w:rsidRDefault="007E131E" w:rsidP="00246320">
      <w:pPr>
        <w:autoSpaceDE w:val="0"/>
        <w:autoSpaceDN w:val="0"/>
        <w:adjustRightInd w:val="0"/>
        <w:spacing w:after="0" w:line="480" w:lineRule="auto"/>
        <w:jc w:val="both"/>
        <w:rPr>
          <w:rFonts w:ascii="Times New Roman" w:hAnsi="Times New Roman" w:cs="Times New Roman"/>
        </w:rPr>
      </w:pPr>
      <w:r w:rsidRPr="00970C35">
        <w:rPr>
          <w:rFonts w:ascii="Times New Roman" w:hAnsi="Times New Roman" w:cs="Times New Roman"/>
        </w:rPr>
        <w:t>The main results we have shown so far is that firms in certain countries spend significantly mo</w:t>
      </w:r>
      <w:r w:rsidR="00315CFE" w:rsidRPr="00970C35">
        <w:rPr>
          <w:rFonts w:ascii="Times New Roman" w:hAnsi="Times New Roman" w:cs="Times New Roman"/>
        </w:rPr>
        <w:t>re in their last fiscal quarter</w:t>
      </w:r>
      <w:r w:rsidR="00E24B3C" w:rsidRPr="00970C35">
        <w:rPr>
          <w:rFonts w:ascii="Times New Roman" w:hAnsi="Times New Roman" w:cs="Times New Roman"/>
        </w:rPr>
        <w:t xml:space="preserve"> than those in other countries</w:t>
      </w:r>
      <w:r w:rsidRPr="00970C35">
        <w:rPr>
          <w:rFonts w:ascii="Times New Roman" w:hAnsi="Times New Roman" w:cs="Times New Roman"/>
        </w:rPr>
        <w:t xml:space="preserve">. In other words, such </w:t>
      </w:r>
      <w:r w:rsidR="00E24B3C" w:rsidRPr="00970C35">
        <w:rPr>
          <w:rFonts w:ascii="Times New Roman" w:hAnsi="Times New Roman" w:cs="Times New Roman"/>
        </w:rPr>
        <w:t xml:space="preserve">investment </w:t>
      </w:r>
      <w:r w:rsidRPr="00970C35">
        <w:rPr>
          <w:rFonts w:ascii="Times New Roman" w:hAnsi="Times New Roman" w:cs="Times New Roman"/>
        </w:rPr>
        <w:t xml:space="preserve">is inefficient, or is </w:t>
      </w:r>
      <w:r w:rsidR="00D87E41" w:rsidRPr="00970C35">
        <w:rPr>
          <w:rFonts w:ascii="Times New Roman" w:hAnsi="Times New Roman" w:cs="Times New Roman"/>
        </w:rPr>
        <w:t xml:space="preserve">wasteful </w:t>
      </w:r>
      <w:r w:rsidRPr="00970C35">
        <w:rPr>
          <w:rFonts w:ascii="Times New Roman" w:hAnsi="Times New Roman" w:cs="Times New Roman"/>
        </w:rPr>
        <w:t xml:space="preserve">overspending. </w:t>
      </w:r>
    </w:p>
    <w:p w:rsidR="0017326C" w:rsidRPr="00970C35" w:rsidRDefault="007E131E" w:rsidP="007E131E">
      <w:pPr>
        <w:autoSpaceDE w:val="0"/>
        <w:autoSpaceDN w:val="0"/>
        <w:adjustRightInd w:val="0"/>
        <w:spacing w:after="0" w:line="480" w:lineRule="auto"/>
        <w:ind w:firstLine="288"/>
        <w:jc w:val="both"/>
        <w:rPr>
          <w:rFonts w:ascii="Times New Roman" w:hAnsi="Times New Roman" w:cs="Times New Roman"/>
        </w:rPr>
      </w:pPr>
      <w:r w:rsidRPr="00970C35">
        <w:rPr>
          <w:rFonts w:ascii="Times New Roman" w:hAnsi="Times New Roman" w:cs="Times New Roman"/>
        </w:rPr>
        <w:t xml:space="preserve">In this section, we extend our evidence of inefficient investment across countries by investigating the sensitivity of investment to Tobin’s q at </w:t>
      </w:r>
      <w:r w:rsidR="00C462AD" w:rsidRPr="00970C35">
        <w:rPr>
          <w:rFonts w:ascii="Times New Roman" w:hAnsi="Times New Roman" w:cs="Times New Roman"/>
        </w:rPr>
        <w:t xml:space="preserve">the </w:t>
      </w:r>
      <w:r w:rsidRPr="00970C35">
        <w:rPr>
          <w:rFonts w:ascii="Times New Roman" w:hAnsi="Times New Roman" w:cs="Times New Roman"/>
        </w:rPr>
        <w:t>quarterly level.</w:t>
      </w:r>
      <w:r w:rsidR="00E52377" w:rsidRPr="00970C35">
        <w:rPr>
          <w:rFonts w:ascii="Times New Roman" w:hAnsi="Times New Roman" w:cs="Times New Roman"/>
        </w:rPr>
        <w:t xml:space="preserve"> An</w:t>
      </w:r>
      <w:r w:rsidR="00525D0D" w:rsidRPr="00970C35">
        <w:rPr>
          <w:rFonts w:ascii="Times New Roman" w:hAnsi="Times New Roman" w:cs="Times New Roman"/>
        </w:rPr>
        <w:t xml:space="preserve"> earlier</w:t>
      </w:r>
      <w:r w:rsidR="00E52377" w:rsidRPr="00970C35">
        <w:rPr>
          <w:rFonts w:ascii="Times New Roman" w:hAnsi="Times New Roman" w:cs="Times New Roman"/>
        </w:rPr>
        <w:t xml:space="preserve"> study that investigates investment-q sensitivity across countries is </w:t>
      </w:r>
      <w:r w:rsidR="00E52377"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"author" : [ { "dropping-particle" : "", "family" : "McLean", "given" : "R David", "non-dropping-particle" : "", "parse-names" : false, "suffix" : "" }, { "dropping-particle" : "", "family" : "Zhang", "given" : "Tianyu", "non-dropping-particle" : "", "parse-names" : false, "suffix" : "" }, { "dropping-particle" : "", "family" : "Zhao", "given" : "Mengxin", "non-dropping-particle" : "", "parse-names" : false, "suffix" : "" } ], "container-title" : "The Journal of Finance", "id" : "ITEM-1", "issue" : "1", "issued" : { "date-parts" : [ [ "2012" ] ] }, "page" : "313-350", "title" : "Why Does the Law Matter? Investor Protection and Its Effects on Investment, Finance, and Growth", "type" : "article-journal", "volume" : "LXVII" }, "uris" : [ "http://www.mendeley.com/documents/?uuid=b921f2b2-181d-495e-894a-2e4a0385891f" ] } ], "mendeley" : { "formattedCitation" : "McLean, Zhang, and Zhao (2012)", "plainTextFormattedCitation" : "McLean, Zhang, and Zhao (2012)", "previouslyFormattedCitation" : "McLean, Zhang, and Zhao (2012)" }, "properties" : { "noteIndex" : 0 }, "schema" : "https://github.com/citation-style-language/schema/raw/master/csl-citation.json" }</w:instrText>
      </w:r>
      <w:r w:rsidR="00E52377" w:rsidRPr="00970C35">
        <w:rPr>
          <w:rFonts w:ascii="Times New Roman" w:hAnsi="Times New Roman" w:cs="Times New Roman"/>
        </w:rPr>
        <w:fldChar w:fldCharType="separate"/>
      </w:r>
      <w:r w:rsidR="00C462AD" w:rsidRPr="00970C35">
        <w:rPr>
          <w:rFonts w:ascii="Times New Roman" w:hAnsi="Times New Roman" w:cs="Times New Roman"/>
          <w:noProof/>
        </w:rPr>
        <w:t>McLean, Zhang, and Zhao (2012)</w:t>
      </w:r>
      <w:r w:rsidR="00E52377" w:rsidRPr="00970C35">
        <w:rPr>
          <w:rFonts w:ascii="Times New Roman" w:hAnsi="Times New Roman" w:cs="Times New Roman"/>
        </w:rPr>
        <w:fldChar w:fldCharType="end"/>
      </w:r>
      <w:r w:rsidR="00E52377" w:rsidRPr="00970C35">
        <w:rPr>
          <w:rFonts w:ascii="Times New Roman" w:hAnsi="Times New Roman" w:cs="Times New Roman"/>
        </w:rPr>
        <w:t>, who</w:t>
      </w:r>
      <w:r w:rsidR="00602E80" w:rsidRPr="00970C35">
        <w:rPr>
          <w:rFonts w:ascii="Times New Roman" w:hAnsi="Times New Roman" w:cs="Times New Roman"/>
        </w:rPr>
        <w:t xml:space="preserve"> </w:t>
      </w:r>
      <w:r w:rsidR="00E52377" w:rsidRPr="00970C35">
        <w:rPr>
          <w:rFonts w:ascii="Times New Roman" w:hAnsi="Times New Roman" w:cs="Times New Roman"/>
        </w:rPr>
        <w:t>use annual data</w:t>
      </w:r>
      <w:r w:rsidR="00602E80" w:rsidRPr="00970C35">
        <w:rPr>
          <w:rFonts w:ascii="Times New Roman" w:hAnsi="Times New Roman" w:cs="Times New Roman"/>
        </w:rPr>
        <w:t xml:space="preserve"> and find that the sensitivity is higher in countries with better investor rights and protection. However, what distinguishes our test from theirs is that we investigate the sensitivity using quarterly data rather than annual data. This is because</w:t>
      </w:r>
      <w:r w:rsidR="0096637B" w:rsidRPr="00970C35">
        <w:rPr>
          <w:rFonts w:ascii="Times New Roman" w:hAnsi="Times New Roman" w:cs="Times New Roman"/>
        </w:rPr>
        <w:t xml:space="preserve"> in their </w:t>
      </w:r>
      <w:r w:rsidR="00C462AD" w:rsidRPr="00970C35">
        <w:rPr>
          <w:rFonts w:ascii="Times New Roman" w:hAnsi="Times New Roman" w:cs="Times New Roman"/>
        </w:rPr>
        <w:t>research</w:t>
      </w:r>
      <w:r w:rsidR="0096637B" w:rsidRPr="00970C35">
        <w:rPr>
          <w:rFonts w:ascii="Times New Roman" w:hAnsi="Times New Roman" w:cs="Times New Roman"/>
        </w:rPr>
        <w:t>, their focus is on firm’s financial constraint, and they use investment-q sensitivity to measure how responsive firms’ investment is to their investment opportunities</w:t>
      </w:r>
      <w:r w:rsidR="00C462AD" w:rsidRPr="00970C35">
        <w:rPr>
          <w:rFonts w:ascii="Times New Roman" w:hAnsi="Times New Roman" w:cs="Times New Roman"/>
        </w:rPr>
        <w:t>,</w:t>
      </w:r>
      <w:r w:rsidR="0096637B" w:rsidRPr="00970C35">
        <w:rPr>
          <w:rFonts w:ascii="Times New Roman" w:hAnsi="Times New Roman" w:cs="Times New Roman"/>
        </w:rPr>
        <w:t xml:space="preserve"> and how it is affected by their financial constraints.</w:t>
      </w:r>
      <w:r w:rsidR="00602E80" w:rsidRPr="00970C35">
        <w:rPr>
          <w:rFonts w:ascii="Times New Roman" w:hAnsi="Times New Roman" w:cs="Times New Roman"/>
        </w:rPr>
        <w:t xml:space="preserve"> </w:t>
      </w:r>
      <w:r w:rsidR="0096637B" w:rsidRPr="00970C35">
        <w:rPr>
          <w:rFonts w:ascii="Times New Roman" w:hAnsi="Times New Roman" w:cs="Times New Roman"/>
        </w:rPr>
        <w:t>In contrast, t</w:t>
      </w:r>
      <w:r w:rsidR="00602E80" w:rsidRPr="00970C35">
        <w:rPr>
          <w:rFonts w:ascii="Times New Roman" w:hAnsi="Times New Roman" w:cs="Times New Roman"/>
        </w:rPr>
        <w:t xml:space="preserve">he inefficiency in our framework </w:t>
      </w:r>
      <w:r w:rsidR="00C462AD" w:rsidRPr="00970C35">
        <w:rPr>
          <w:rFonts w:ascii="Times New Roman" w:hAnsi="Times New Roman" w:cs="Times New Roman"/>
        </w:rPr>
        <w:t>is derived</w:t>
      </w:r>
      <w:r w:rsidR="00602E80" w:rsidRPr="00970C35">
        <w:rPr>
          <w:rFonts w:ascii="Times New Roman" w:hAnsi="Times New Roman" w:cs="Times New Roman"/>
        </w:rPr>
        <w:t xml:space="preserve"> from </w:t>
      </w:r>
      <w:r w:rsidR="00982F87" w:rsidRPr="00970C35">
        <w:rPr>
          <w:rFonts w:ascii="Times New Roman" w:hAnsi="Times New Roman" w:cs="Times New Roman"/>
        </w:rPr>
        <w:t>cross-fiscal-quarter</w:t>
      </w:r>
      <w:r w:rsidR="00602E80" w:rsidRPr="00970C35">
        <w:rPr>
          <w:rFonts w:ascii="Times New Roman" w:hAnsi="Times New Roman" w:cs="Times New Roman"/>
        </w:rPr>
        <w:t xml:space="preserve"> and </w:t>
      </w:r>
      <w:r w:rsidR="00525D0D" w:rsidRPr="00970C35">
        <w:rPr>
          <w:rFonts w:ascii="Times New Roman" w:hAnsi="Times New Roman" w:cs="Times New Roman"/>
        </w:rPr>
        <w:t>cross-division</w:t>
      </w:r>
      <w:r w:rsidR="00602E80" w:rsidRPr="00970C35">
        <w:rPr>
          <w:rFonts w:ascii="Times New Roman" w:hAnsi="Times New Roman" w:cs="Times New Roman"/>
        </w:rPr>
        <w:t xml:space="preserve"> capital allocation, not from firm-wide </w:t>
      </w:r>
      <w:r w:rsidR="00982F87" w:rsidRPr="00970C35">
        <w:rPr>
          <w:rFonts w:ascii="Times New Roman" w:hAnsi="Times New Roman" w:cs="Times New Roman"/>
        </w:rPr>
        <w:t xml:space="preserve">capital allocation at the beginning of the year. </w:t>
      </w:r>
      <w:r w:rsidR="00C462AD" w:rsidRPr="00970C35">
        <w:rPr>
          <w:rFonts w:ascii="Times New Roman" w:hAnsi="Times New Roman" w:cs="Times New Roman"/>
        </w:rPr>
        <w:t>T</w:t>
      </w:r>
      <w:r w:rsidR="00982F87" w:rsidRPr="00970C35">
        <w:rPr>
          <w:rFonts w:ascii="Times New Roman" w:hAnsi="Times New Roman" w:cs="Times New Roman"/>
        </w:rPr>
        <w:t>he annual total investment inefficiency is not our focus</w:t>
      </w:r>
      <w:r w:rsidR="00C462AD" w:rsidRPr="00970C35">
        <w:rPr>
          <w:rFonts w:ascii="Times New Roman" w:hAnsi="Times New Roman" w:cs="Times New Roman"/>
        </w:rPr>
        <w:t xml:space="preserve"> here</w:t>
      </w:r>
      <w:r w:rsidR="00982F87" w:rsidRPr="00970C35">
        <w:rPr>
          <w:rFonts w:ascii="Times New Roman" w:hAnsi="Times New Roman" w:cs="Times New Roman"/>
        </w:rPr>
        <w:t xml:space="preserve">. </w:t>
      </w:r>
      <w:r w:rsidR="00C462AD" w:rsidRPr="00970C35">
        <w:rPr>
          <w:rFonts w:ascii="Times New Roman" w:hAnsi="Times New Roman" w:cs="Times New Roman"/>
        </w:rPr>
        <w:t>Rather</w:t>
      </w:r>
      <w:r w:rsidR="00E24B3C" w:rsidRPr="00970C35">
        <w:rPr>
          <w:rFonts w:ascii="Times New Roman" w:hAnsi="Times New Roman" w:cs="Times New Roman"/>
        </w:rPr>
        <w:t xml:space="preserve">, our focus is to investigate whether firms overspend in the fourth fiscal quarter </w:t>
      </w:r>
      <w:r w:rsidR="0096637B" w:rsidRPr="00970C35">
        <w:rPr>
          <w:rFonts w:ascii="Times New Roman" w:hAnsi="Times New Roman" w:cs="Times New Roman"/>
        </w:rPr>
        <w:t>and under</w:t>
      </w:r>
      <w:r w:rsidR="00E24B3C" w:rsidRPr="00970C35">
        <w:rPr>
          <w:rFonts w:ascii="Times New Roman" w:hAnsi="Times New Roman" w:cs="Times New Roman"/>
        </w:rPr>
        <w:t>spend in earlier quarters.</w:t>
      </w:r>
      <w:r w:rsidR="0096637B" w:rsidRPr="00970C35">
        <w:rPr>
          <w:rFonts w:ascii="Times New Roman" w:hAnsi="Times New Roman" w:cs="Times New Roman"/>
        </w:rPr>
        <w:t xml:space="preserve"> </w:t>
      </w:r>
      <w:r w:rsidR="00E24B3C" w:rsidRPr="00970C35">
        <w:rPr>
          <w:rFonts w:ascii="Times New Roman" w:hAnsi="Times New Roman" w:cs="Times New Roman"/>
        </w:rPr>
        <w:t>Since</w:t>
      </w:r>
      <w:r w:rsidR="0096637B" w:rsidRPr="00970C35">
        <w:rPr>
          <w:rFonts w:ascii="Times New Roman" w:hAnsi="Times New Roman" w:cs="Times New Roman"/>
        </w:rPr>
        <w:t xml:space="preserve"> the quarterly investment-q sensitivity measures how responsive firms’ quarterly spending is to investment opportunities</w:t>
      </w:r>
      <w:r w:rsidR="00E24B3C" w:rsidRPr="00970C35">
        <w:rPr>
          <w:rFonts w:ascii="Times New Roman" w:hAnsi="Times New Roman" w:cs="Times New Roman"/>
        </w:rPr>
        <w:t>, w</w:t>
      </w:r>
      <w:r w:rsidR="0096637B" w:rsidRPr="00970C35">
        <w:rPr>
          <w:rFonts w:ascii="Times New Roman" w:hAnsi="Times New Roman" w:cs="Times New Roman"/>
        </w:rPr>
        <w:t>e expect to see higher sensitivity in countries with better</w:t>
      </w:r>
      <w:r w:rsidR="005D761A" w:rsidRPr="00970C35">
        <w:rPr>
          <w:rFonts w:ascii="Times New Roman" w:hAnsi="Times New Roman" w:cs="Times New Roman"/>
        </w:rPr>
        <w:t xml:space="preserve"> investor rights and protection</w:t>
      </w:r>
      <w:r w:rsidR="0096637B" w:rsidRPr="00970C35">
        <w:rPr>
          <w:rFonts w:ascii="Times New Roman" w:hAnsi="Times New Roman" w:cs="Times New Roman"/>
        </w:rPr>
        <w:t xml:space="preserve"> </w:t>
      </w:r>
      <w:r w:rsidR="005D761A" w:rsidRPr="00970C35">
        <w:rPr>
          <w:rFonts w:ascii="Times New Roman" w:hAnsi="Times New Roman" w:cs="Times New Roman"/>
        </w:rPr>
        <w:t>as well as</w:t>
      </w:r>
      <w:r w:rsidR="0096637B" w:rsidRPr="00970C35">
        <w:rPr>
          <w:rFonts w:ascii="Times New Roman" w:hAnsi="Times New Roman" w:cs="Times New Roman"/>
        </w:rPr>
        <w:t xml:space="preserve"> more developed financial markets.</w:t>
      </w:r>
    </w:p>
    <w:p w:rsidR="0096637B" w:rsidRPr="00970C35" w:rsidRDefault="0096637B" w:rsidP="00E61119">
      <w:pPr>
        <w:autoSpaceDE w:val="0"/>
        <w:autoSpaceDN w:val="0"/>
        <w:adjustRightInd w:val="0"/>
        <w:spacing w:after="120" w:line="480" w:lineRule="auto"/>
        <w:ind w:firstLine="288"/>
        <w:jc w:val="both"/>
        <w:rPr>
          <w:rFonts w:ascii="Times New Roman" w:hAnsi="Times New Roman" w:cs="Times New Roman"/>
        </w:rPr>
      </w:pPr>
      <w:r w:rsidRPr="00970C35">
        <w:rPr>
          <w:rFonts w:ascii="Times New Roman" w:hAnsi="Times New Roman" w:cs="Times New Roman"/>
        </w:rPr>
        <w:t>We present our results in Table 8. The coefficients of our main interest are those on the interaction between Tobin’s q and country characteristics. Consistent with our conjecture, investment-q sensitivity is higher in countries with higher investor rights and protection</w:t>
      </w:r>
      <w:r w:rsidR="00C462AD" w:rsidRPr="00970C35">
        <w:rPr>
          <w:rFonts w:ascii="Times New Roman" w:hAnsi="Times New Roman" w:cs="Times New Roman"/>
        </w:rPr>
        <w:t>,</w:t>
      </w:r>
      <w:r w:rsidRPr="00970C35">
        <w:rPr>
          <w:rFonts w:ascii="Times New Roman" w:hAnsi="Times New Roman" w:cs="Times New Roman"/>
        </w:rPr>
        <w:t xml:space="preserve"> and more developed financial markets. The results hold in our full sample in Panel A </w:t>
      </w:r>
      <w:r w:rsidR="003F2301" w:rsidRPr="00970C35">
        <w:rPr>
          <w:rFonts w:ascii="Times New Roman" w:hAnsi="Times New Roman" w:cs="Times New Roman"/>
        </w:rPr>
        <w:t>and</w:t>
      </w:r>
      <w:r w:rsidRPr="00970C35">
        <w:rPr>
          <w:rFonts w:ascii="Times New Roman" w:hAnsi="Times New Roman" w:cs="Times New Roman"/>
        </w:rPr>
        <w:t xml:space="preserve"> in the non-U</w:t>
      </w:r>
      <w:r w:rsidR="00C462AD" w:rsidRPr="00970C35">
        <w:rPr>
          <w:rFonts w:ascii="Times New Roman" w:hAnsi="Times New Roman" w:cs="Times New Roman"/>
        </w:rPr>
        <w:t>.</w:t>
      </w:r>
      <w:r w:rsidRPr="00970C35">
        <w:rPr>
          <w:rFonts w:ascii="Times New Roman" w:hAnsi="Times New Roman" w:cs="Times New Roman"/>
        </w:rPr>
        <w:t>S</w:t>
      </w:r>
      <w:r w:rsidR="00C462AD" w:rsidRPr="00970C35">
        <w:rPr>
          <w:rFonts w:ascii="Times New Roman" w:hAnsi="Times New Roman" w:cs="Times New Roman"/>
        </w:rPr>
        <w:t>.</w:t>
      </w:r>
      <w:r w:rsidRPr="00970C35">
        <w:rPr>
          <w:rFonts w:ascii="Times New Roman" w:hAnsi="Times New Roman" w:cs="Times New Roman"/>
        </w:rPr>
        <w:t xml:space="preserve"> subsample in Panel B. </w:t>
      </w:r>
      <w:r w:rsidR="00E61119" w:rsidRPr="00970C35">
        <w:rPr>
          <w:rFonts w:ascii="Times New Roman" w:hAnsi="Times New Roman" w:cs="Times New Roman"/>
        </w:rPr>
        <w:t xml:space="preserve">Furthermore, in order </w:t>
      </w:r>
      <w:r w:rsidR="00E61119" w:rsidRPr="00970C35">
        <w:rPr>
          <w:rFonts w:ascii="Times New Roman" w:hAnsi="Times New Roman" w:cs="Times New Roman"/>
        </w:rPr>
        <w:lastRenderedPageBreak/>
        <w:t xml:space="preserve">to avoid our results being influenced mainly by </w:t>
      </w:r>
      <w:r w:rsidR="00C462AD" w:rsidRPr="00970C35">
        <w:rPr>
          <w:rFonts w:ascii="Times New Roman" w:hAnsi="Times New Roman" w:cs="Times New Roman"/>
        </w:rPr>
        <w:t>large</w:t>
      </w:r>
      <w:r w:rsidR="00E61119" w:rsidRPr="00970C35">
        <w:rPr>
          <w:rFonts w:ascii="Times New Roman" w:hAnsi="Times New Roman" w:cs="Times New Roman"/>
        </w:rPr>
        <w:t xml:space="preserve"> countries, we first regress quarterly investment on Tobin’s q within each country and obtain the coefficients on q. We control for firm-level variables and firm and industry-time fixed effects. We then run an OLS regression of the investment-q sensitivities on our country characteristics. The results of the second regression are shown in Panel C of Table 8. Due to the low number of observations</w:t>
      </w:r>
      <w:r w:rsidR="00C462AD" w:rsidRPr="00970C35">
        <w:rPr>
          <w:rFonts w:ascii="Times New Roman" w:hAnsi="Times New Roman" w:cs="Times New Roman"/>
        </w:rPr>
        <w:t>,</w:t>
      </w:r>
      <w:r w:rsidR="00E61119" w:rsidRPr="00970C35">
        <w:rPr>
          <w:rFonts w:ascii="Times New Roman" w:hAnsi="Times New Roman" w:cs="Times New Roman"/>
        </w:rPr>
        <w:t xml:space="preserve"> the power of this test is low. Still, 6 out of 11 of the coefficients are statistically significant at</w:t>
      </w:r>
      <w:r w:rsidR="00C462AD" w:rsidRPr="00970C35">
        <w:rPr>
          <w:rFonts w:ascii="Times New Roman" w:hAnsi="Times New Roman" w:cs="Times New Roman"/>
        </w:rPr>
        <w:t xml:space="preserve"> the</w:t>
      </w:r>
      <w:r w:rsidR="00E61119" w:rsidRPr="00970C35">
        <w:rPr>
          <w:rFonts w:ascii="Times New Roman" w:hAnsi="Times New Roman" w:cs="Times New Roman"/>
        </w:rPr>
        <w:t xml:space="preserve"> 10% or higher level, and the rest have signs that are consistent with our conjecture. In sum, Table 8 provides supporting evidence that firms in countries with stronger investor rights and protection</w:t>
      </w:r>
      <w:r w:rsidR="00C462AD" w:rsidRPr="00970C35">
        <w:rPr>
          <w:rFonts w:ascii="Times New Roman" w:hAnsi="Times New Roman" w:cs="Times New Roman"/>
        </w:rPr>
        <w:t>,</w:t>
      </w:r>
      <w:r w:rsidR="00E61119" w:rsidRPr="00970C35">
        <w:rPr>
          <w:rFonts w:ascii="Times New Roman" w:hAnsi="Times New Roman" w:cs="Times New Roman"/>
        </w:rPr>
        <w:t xml:space="preserve"> and more developed financial markets allocate their capital more efficiently across fiscal quarters. </w:t>
      </w:r>
    </w:p>
    <w:p w:rsidR="00D87E41" w:rsidRPr="00970C35" w:rsidRDefault="00C462AD" w:rsidP="00D87E41">
      <w:pPr>
        <w:spacing w:after="240" w:line="480" w:lineRule="auto"/>
        <w:jc w:val="center"/>
        <w:rPr>
          <w:rFonts w:ascii="Times New Roman" w:hAnsi="Times New Roman" w:cs="Times New Roman"/>
        </w:rPr>
      </w:pPr>
      <w:r w:rsidRPr="00970C35">
        <w:rPr>
          <w:rFonts w:ascii="Times New Roman" w:hAnsi="Times New Roman" w:cs="Times New Roman"/>
        </w:rPr>
        <w:t>[</w:t>
      </w:r>
      <w:r w:rsidR="00D87E41" w:rsidRPr="00970C35">
        <w:rPr>
          <w:rFonts w:ascii="Times New Roman" w:hAnsi="Times New Roman" w:cs="Times New Roman"/>
        </w:rPr>
        <w:t>Insert Table 8 here</w:t>
      </w:r>
      <w:r w:rsidRPr="00970C35">
        <w:rPr>
          <w:rFonts w:ascii="Times New Roman" w:hAnsi="Times New Roman" w:cs="Times New Roman"/>
        </w:rPr>
        <w:t>]</w:t>
      </w:r>
    </w:p>
    <w:p w:rsidR="00821BD4" w:rsidRPr="00970C35" w:rsidRDefault="00BF7092" w:rsidP="00246320">
      <w:pPr>
        <w:autoSpaceDE w:val="0"/>
        <w:autoSpaceDN w:val="0"/>
        <w:adjustRightInd w:val="0"/>
        <w:spacing w:after="0" w:line="480" w:lineRule="auto"/>
        <w:jc w:val="both"/>
        <w:rPr>
          <w:rFonts w:ascii="Times New Roman" w:hAnsi="Times New Roman" w:cs="Times New Roman"/>
        </w:rPr>
      </w:pPr>
      <w:r w:rsidRPr="00970C35">
        <w:rPr>
          <w:rFonts w:ascii="Times New Roman" w:hAnsi="Times New Roman" w:cs="Times New Roman"/>
        </w:rPr>
        <w:t>5</w:t>
      </w:r>
      <w:r w:rsidR="00821BD4" w:rsidRPr="00970C35">
        <w:rPr>
          <w:rFonts w:ascii="Times New Roman" w:hAnsi="Times New Roman" w:cs="Times New Roman"/>
        </w:rPr>
        <w:t>.</w:t>
      </w:r>
      <w:r w:rsidR="0018557B" w:rsidRPr="00970C35">
        <w:rPr>
          <w:rFonts w:ascii="Times New Roman" w:hAnsi="Times New Roman" w:cs="Times New Roman"/>
        </w:rPr>
        <w:t>5</w:t>
      </w:r>
      <w:r w:rsidR="00821BD4" w:rsidRPr="00970C35">
        <w:rPr>
          <w:rFonts w:ascii="Times New Roman" w:hAnsi="Times New Roman" w:cs="Times New Roman"/>
        </w:rPr>
        <w:t xml:space="preserve">. External Finance Dependence </w:t>
      </w:r>
      <w:r w:rsidR="00C462AD" w:rsidRPr="00970C35">
        <w:rPr>
          <w:rFonts w:ascii="Times New Roman" w:hAnsi="Times New Roman" w:cs="Times New Roman"/>
        </w:rPr>
        <w:t>across</w:t>
      </w:r>
      <w:r w:rsidR="00821BD4" w:rsidRPr="00970C35">
        <w:rPr>
          <w:rFonts w:ascii="Times New Roman" w:hAnsi="Times New Roman" w:cs="Times New Roman"/>
        </w:rPr>
        <w:t xml:space="preserve"> Industries</w:t>
      </w:r>
    </w:p>
    <w:p w:rsidR="00305436" w:rsidRPr="00970C35" w:rsidRDefault="001A76A2" w:rsidP="00246320">
      <w:pPr>
        <w:spacing w:after="0" w:line="480" w:lineRule="auto"/>
        <w:contextualSpacing/>
        <w:jc w:val="both"/>
        <w:rPr>
          <w:rFonts w:ascii="Times New Roman" w:hAnsi="Times New Roman" w:cs="Times New Roman"/>
        </w:rPr>
      </w:pPr>
      <w:r w:rsidRPr="00970C35">
        <w:rPr>
          <w:rFonts w:ascii="Times New Roman" w:hAnsi="Times New Roman" w:cs="Times New Roman"/>
        </w:rPr>
        <w:t>Since the agency conflicts we focus on in this study are b</w:t>
      </w:r>
      <w:r w:rsidR="00F9761B" w:rsidRPr="00970C35">
        <w:rPr>
          <w:rFonts w:ascii="Times New Roman" w:hAnsi="Times New Roman" w:cs="Times New Roman"/>
        </w:rPr>
        <w:t>etween CEO and outside investors, or “external”, we expect to see</w:t>
      </w:r>
      <w:r w:rsidR="00C462AD" w:rsidRPr="00970C35">
        <w:rPr>
          <w:rFonts w:ascii="Times New Roman" w:hAnsi="Times New Roman" w:cs="Times New Roman"/>
        </w:rPr>
        <w:t xml:space="preserve"> a</w:t>
      </w:r>
      <w:r w:rsidR="00F9761B" w:rsidRPr="00970C35">
        <w:rPr>
          <w:rFonts w:ascii="Times New Roman" w:hAnsi="Times New Roman" w:cs="Times New Roman"/>
        </w:rPr>
        <w:t xml:space="preserve"> larger effect of agency problems on investment efficiency when firms interact more with outside investors, or depend more on external finance. </w:t>
      </w:r>
    </w:p>
    <w:p w:rsidR="00305436" w:rsidRPr="00970C35" w:rsidRDefault="00305436" w:rsidP="00305436">
      <w:pPr>
        <w:spacing w:after="0" w:line="480" w:lineRule="auto"/>
        <w:ind w:firstLine="288"/>
        <w:jc w:val="both"/>
        <w:rPr>
          <w:rFonts w:ascii="Times New Roman" w:hAnsi="Times New Roman" w:cs="Times New Roman"/>
        </w:rPr>
      </w:pPr>
      <w:r w:rsidRPr="00970C35">
        <w:rPr>
          <w:rFonts w:ascii="Times New Roman" w:hAnsi="Times New Roman" w:cs="Times New Roman"/>
        </w:rPr>
        <w:t xml:space="preserve">Following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"10.1257/jep.6.3.79", "ISBN" : "9781589017009", "ISSN" : "0895-3309", "PMID" : "9212281121", "author" : [ { "dropping-particle" : "", "family" : "Rajan", "given" : "Raghuram G.", "non-dropping-particle" : "", "parse-names" : false, "suffix" : "" }, { "dropping-particle" : "", "family" : "Zingales", "given" : "Luigi", "non-dropping-particle" : "", "parse-names" : false, "suffix" : "" } ], "container-title" : "American Economic Review", "id" : "ITEM-1", "issue" : "3", "issued" : { "date-parts" : [ [ "1998" ] ] }, "page" : "559-586", "title" : "Financial Dependence and Growth", "type" : "article-journal", "volume" : "88" }, "uris" : [ "http://www.mendeley.com/documents/?uuid=5b1c4596-9278-4210-be3a-dfc7fd3a1797" ] } ], "mendeley" : { "formattedCitation" : "Rajan and Zingales (1998)", "plainTextFormattedCitation" : "Rajan and Zingales (1998)", "previouslyFormattedCitation" : "Rajan and Zingales (1998)"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Rajan and Zingales (1998)</w:t>
      </w:r>
      <w:r w:rsidRPr="00970C35">
        <w:rPr>
          <w:rFonts w:ascii="Times New Roman" w:hAnsi="Times New Roman" w:cs="Times New Roman"/>
        </w:rPr>
        <w:fldChar w:fldCharType="end"/>
      </w:r>
      <w:r w:rsidRPr="00970C35">
        <w:rPr>
          <w:rFonts w:ascii="Times New Roman" w:hAnsi="Times New Roman" w:cs="Times New Roman"/>
        </w:rPr>
        <w:t xml:space="preserve"> and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"10.1016/j.jfineco.2009.12.008", "ISBN" : "0304-405X", "ISSN" : "0304405X", "abstract" : "We study the effect of the recent financial crisis on corporate investment. The crisis represents an unexplored negative shock to the supply of external finance for non-financial firms. Corporate investment declines significantly following the onset of the crisis, controlling for firm fixed effects and time-varying measures of investment opportunities. Consistent with a causal effect of a supply shock, the decline is greatest for firms that have low cash reserves or high net short-term debt, are financially constrained, or operate in industries dependent on external finance. To address endogeneity concerns, we measure firms' financial positions as much as four years prior to the crisis, and confirm that similar results do not follow placebo crises in the summers of 2003-2006. Nor do similar results follow the negative demand shock caused by September 11, 2001. The effects weaken considerably beginning in the third quarter of 2008, when the demand-side effects of the crisis became apparent. Additional analysis suggests an important precautionary savings motive for seemingly excess cash that is generally overlooked in the literature. ?? 2010 Elsevier B.V.", "author" : [ { "dropping-particle" : "", "family" : "Duchin", "given" : "Ran", "non-dropping-particle" : "", "parse-names" : false, "suffix" : "" }, { "dropping-particle" : "", "family" : "Ozbas", "given" : "Oguzhan", "non-dropping-particle" : "", "parse-names" : false, "suffix" : "" }, { "dropping-particle" : "", "family" : "Sensoy", "given" : "Berk a.", "non-dropping-particle" : "", "parse-names" : false, "suffix" : "" } ], "container-title" : "Journal of Financial Economics", "id" : "ITEM-1", "issue" : "3", "issued" : { "date-parts" : [ [ "2010" ] ] }, "page" : "418-435", "publisher" : "Elsevier", "title" : "Costly external finance, corporate investment, and the subprime mortgage credit crisis", "type" : "article-journal", "volume" : "97" }, "uris" : [ "http://www.mendeley.com/documents/?uuid=dbfef90d-bbc3-417e-8926-6f568038a705" ] } ], "mendeley" : { "formattedCitation" : "Duchin, Ozbas, and Sensoy (2010)", "plainTextFormattedCitation" : "Duchin, Ozbas, and Sensoy (2010)", "previouslyFormattedCitation" : "Duchin, Ozbas, and Sensoy (2010)"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Duchin, Ozbas, and Sensoy (2010)</w:t>
      </w:r>
      <w:r w:rsidRPr="00970C35">
        <w:rPr>
          <w:rFonts w:ascii="Times New Roman" w:hAnsi="Times New Roman" w:cs="Times New Roman"/>
        </w:rPr>
        <w:fldChar w:fldCharType="end"/>
      </w:r>
      <w:r w:rsidRPr="00970C35">
        <w:rPr>
          <w:rFonts w:ascii="Times New Roman" w:hAnsi="Times New Roman" w:cs="Times New Roman"/>
        </w:rPr>
        <w:t>, we first construct dependence on external finance for each firm as the ratio of external financing to capital expenditures</w:t>
      </w:r>
      <w:r w:rsidRPr="00970C35">
        <w:rPr>
          <w:rStyle w:val="ac"/>
          <w:rFonts w:ascii="Times New Roman" w:hAnsi="Times New Roman" w:cs="Times New Roman"/>
        </w:rPr>
        <w:footnoteReference w:id="13"/>
      </w:r>
      <w:r w:rsidRPr="00970C35">
        <w:rPr>
          <w:rFonts w:ascii="Times New Roman" w:hAnsi="Times New Roman" w:cs="Times New Roman"/>
        </w:rPr>
        <w:t>.</w:t>
      </w:r>
      <w:r w:rsidR="00C462AD" w:rsidRPr="00970C35">
        <w:rPr>
          <w:rFonts w:ascii="Times New Roman" w:hAnsi="Times New Roman" w:cs="Times New Roman"/>
        </w:rPr>
        <w:t xml:space="preserve"> </w:t>
      </w:r>
      <w:r w:rsidRPr="00970C35">
        <w:rPr>
          <w:rFonts w:ascii="Times New Roman" w:hAnsi="Times New Roman" w:cs="Times New Roman"/>
        </w:rPr>
        <w:t xml:space="preserve">To do this, we first collect the year-end data of cash flows from operations, capital expenditures, and other expenses of all public firms in North America from the Compustat database. We then aggregate firms’ external finance dependence in each year at the industry level, which is identified as </w:t>
      </w:r>
      <w:r w:rsidR="00C462AD" w:rsidRPr="00970C35">
        <w:rPr>
          <w:rFonts w:ascii="Times New Roman" w:hAnsi="Times New Roman" w:cs="Times New Roman"/>
        </w:rPr>
        <w:t xml:space="preserve">a </w:t>
      </w:r>
      <w:r w:rsidRPr="00970C35">
        <w:rPr>
          <w:rFonts w:ascii="Times New Roman" w:hAnsi="Times New Roman" w:cs="Times New Roman"/>
        </w:rPr>
        <w:t xml:space="preserve">three-digit SIC code, and then compute dependence as the time-series average of an industry’s dependence on external finance during our sample period. Finally, we </w:t>
      </w:r>
      <w:r w:rsidR="002D0C41" w:rsidRPr="00970C35">
        <w:rPr>
          <w:rFonts w:ascii="Times New Roman" w:hAnsi="Times New Roman" w:cs="Times New Roman"/>
        </w:rPr>
        <w:t>construct a dummy variable “EXTERNAL FINANCE”</w:t>
      </w:r>
      <w:r w:rsidRPr="00970C35">
        <w:rPr>
          <w:rFonts w:ascii="Times New Roman" w:hAnsi="Times New Roman" w:cs="Times New Roman"/>
        </w:rPr>
        <w:t xml:space="preserve"> based on whether each industry’s dependence on external finance is above</w:t>
      </w:r>
      <w:r w:rsidR="00C462AD" w:rsidRPr="00970C35">
        <w:rPr>
          <w:rFonts w:ascii="Times New Roman" w:hAnsi="Times New Roman" w:cs="Times New Roman"/>
        </w:rPr>
        <w:t>,</w:t>
      </w:r>
      <w:r w:rsidRPr="00970C35">
        <w:rPr>
          <w:rFonts w:ascii="Times New Roman" w:hAnsi="Times New Roman" w:cs="Times New Roman"/>
        </w:rPr>
        <w:t xml:space="preserve"> or below the median of all industries’ dependence on external finance. As in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"10.1257/jep.6.3.79", "ISBN" : "9781589017009", "ISSN" : "0895-3309", "PMID" : "9212281121", "author" : [ { "dropping-particle" : "", "family" : "Rajan", "given" : "Raghuram G.", "non-dropping-particle" : "", "parse-names" : false, "suffix" : "" }, { "dropping-particle" : "", "family" : "Zingales", "given" : "Luigi", "non-dropping-particle" : "", "parse-names" : false, "suffix" : "" } ], "container-title" : "American Economic Review", "id" : "ITEM-1", "issue" : "3", "issued" : { "date-parts" : [ [ "1998" ] ] }, "page" : "559-586", "title" : "Financial Dependence and Growth", "type" : "article-journal", "volume" : "88" }, "uris" : [ "http://www.mendeley.com/documents/?uuid=5b1c4596-9278-4210-be3a-dfc7fd3a1797" ] } ], "mendeley" : { "formattedCitation" : "Rajan and Zingales (1998)", "plainTextFormattedCitation" : "Rajan and Zingales (1998)", "previouslyFormattedCitation" : "Rajan and Zingales (1998)" }, "properties" : { "noteIndex" : 0 }, "schema" : "https://github.com/citation-style-language/schema/raw/master/csl-citation.json" }</w:instrText>
      </w:r>
      <w:r w:rsidRPr="00970C35">
        <w:rPr>
          <w:rFonts w:ascii="Times New Roman" w:hAnsi="Times New Roman" w:cs="Times New Roman"/>
        </w:rPr>
        <w:fldChar w:fldCharType="separate"/>
      </w:r>
      <w:r w:rsidR="00C462AD" w:rsidRPr="00970C35">
        <w:rPr>
          <w:rFonts w:ascii="Times New Roman" w:hAnsi="Times New Roman" w:cs="Times New Roman"/>
          <w:noProof/>
        </w:rPr>
        <w:t>Rajan and Zingales (1998)</w:t>
      </w:r>
      <w:r w:rsidRPr="00970C35">
        <w:rPr>
          <w:rFonts w:ascii="Times New Roman" w:hAnsi="Times New Roman" w:cs="Times New Roman"/>
        </w:rPr>
        <w:fldChar w:fldCharType="end"/>
      </w:r>
      <w:r w:rsidRPr="00970C35">
        <w:rPr>
          <w:rFonts w:ascii="Times New Roman" w:hAnsi="Times New Roman" w:cs="Times New Roman"/>
          <w:noProof/>
        </w:rPr>
        <w:t>,</w:t>
      </w:r>
      <w:r w:rsidRPr="00970C35">
        <w:rPr>
          <w:rFonts w:ascii="Times New Roman" w:hAnsi="Times New Roman" w:cs="Times New Roman"/>
        </w:rPr>
        <w:t xml:space="preserve"> we assume that industry characteristics based on U</w:t>
      </w:r>
      <w:r w:rsidR="00C462AD" w:rsidRPr="00970C35">
        <w:rPr>
          <w:rFonts w:ascii="Times New Roman" w:hAnsi="Times New Roman" w:cs="Times New Roman"/>
        </w:rPr>
        <w:t>.</w:t>
      </w:r>
      <w:r w:rsidRPr="00970C35">
        <w:rPr>
          <w:rFonts w:ascii="Times New Roman" w:hAnsi="Times New Roman" w:cs="Times New Roman"/>
        </w:rPr>
        <w:t>S</w:t>
      </w:r>
      <w:r w:rsidR="00C462AD" w:rsidRPr="00970C35">
        <w:rPr>
          <w:rFonts w:ascii="Times New Roman" w:hAnsi="Times New Roman" w:cs="Times New Roman"/>
        </w:rPr>
        <w:t>.</w:t>
      </w:r>
      <w:r w:rsidRPr="00970C35">
        <w:rPr>
          <w:rFonts w:ascii="Times New Roman" w:hAnsi="Times New Roman" w:cs="Times New Roman"/>
        </w:rPr>
        <w:t xml:space="preserve"> data can carry over to other countries. </w:t>
      </w:r>
    </w:p>
    <w:p w:rsidR="00821BD4" w:rsidRPr="00970C35" w:rsidRDefault="002D0C41" w:rsidP="00246320">
      <w:pPr>
        <w:spacing w:after="0" w:line="480" w:lineRule="auto"/>
        <w:ind w:firstLine="288"/>
        <w:jc w:val="both"/>
        <w:rPr>
          <w:rFonts w:ascii="Times New Roman" w:hAnsi="Times New Roman" w:cs="Times New Roman"/>
        </w:rPr>
      </w:pPr>
      <w:r w:rsidRPr="00970C35">
        <w:rPr>
          <w:rFonts w:ascii="Times New Roman" w:hAnsi="Times New Roman" w:cs="Times New Roman"/>
        </w:rPr>
        <w:lastRenderedPageBreak/>
        <w:t>We then re</w:t>
      </w:r>
      <w:r w:rsidR="00C462AD" w:rsidRPr="00970C35">
        <w:rPr>
          <w:rFonts w:ascii="Times New Roman" w:hAnsi="Times New Roman" w:cs="Times New Roman"/>
        </w:rPr>
        <w:t>-</w:t>
      </w:r>
      <w:r w:rsidRPr="00970C35">
        <w:rPr>
          <w:rFonts w:ascii="Times New Roman" w:hAnsi="Times New Roman" w:cs="Times New Roman"/>
        </w:rPr>
        <w:t xml:space="preserve">run </w:t>
      </w:r>
      <w:r w:rsidR="00C462AD" w:rsidRPr="00970C35">
        <w:rPr>
          <w:rFonts w:ascii="Times New Roman" w:hAnsi="Times New Roman" w:cs="Times New Roman"/>
        </w:rPr>
        <w:t>the</w:t>
      </w:r>
      <w:r w:rsidRPr="00970C35">
        <w:rPr>
          <w:rFonts w:ascii="Times New Roman" w:hAnsi="Times New Roman" w:cs="Times New Roman"/>
        </w:rPr>
        <w:t xml:space="preserve"> tests in our full sample</w:t>
      </w:r>
      <w:r w:rsidR="00C462AD" w:rsidRPr="00970C35">
        <w:rPr>
          <w:rFonts w:ascii="Times New Roman" w:hAnsi="Times New Roman" w:cs="Times New Roman"/>
        </w:rPr>
        <w:t>,</w:t>
      </w:r>
      <w:r w:rsidRPr="00970C35">
        <w:rPr>
          <w:rFonts w:ascii="Times New Roman" w:hAnsi="Times New Roman" w:cs="Times New Roman"/>
        </w:rPr>
        <w:t xml:space="preserve"> and add</w:t>
      </w:r>
      <w:r w:rsidR="00C462AD" w:rsidRPr="00970C35">
        <w:rPr>
          <w:rFonts w:ascii="Times New Roman" w:hAnsi="Times New Roman" w:cs="Times New Roman"/>
        </w:rPr>
        <w:t xml:space="preserve"> a new three-term interaction—</w:t>
      </w:r>
      <w:r w:rsidRPr="00970C35">
        <w:rPr>
          <w:rFonts w:ascii="Times New Roman" w:hAnsi="Times New Roman" w:cs="Times New Roman"/>
        </w:rPr>
        <w:t xml:space="preserve">the interaction of fourth-quarter dummy, country characteristics, and the external finance dummy. </w:t>
      </w:r>
      <w:r w:rsidR="00821BD4" w:rsidRPr="00970C35">
        <w:rPr>
          <w:rFonts w:ascii="Times New Roman" w:hAnsi="Times New Roman" w:cs="Times New Roman"/>
        </w:rPr>
        <w:t xml:space="preserve">Our results are presented in Table </w:t>
      </w:r>
      <w:r w:rsidR="00532BF8" w:rsidRPr="00970C35">
        <w:rPr>
          <w:rFonts w:ascii="Times New Roman" w:hAnsi="Times New Roman" w:cs="Times New Roman"/>
        </w:rPr>
        <w:t>9</w:t>
      </w:r>
      <w:r w:rsidR="00821BD4" w:rsidRPr="00970C35">
        <w:rPr>
          <w:rFonts w:ascii="Times New Roman" w:hAnsi="Times New Roman" w:cs="Times New Roman"/>
        </w:rPr>
        <w:t xml:space="preserve">. Consistent with our conjecture, the coefficients on the interaction terms between country-level variables and fourth quarter dummy are </w:t>
      </w:r>
      <w:r w:rsidRPr="00970C35">
        <w:rPr>
          <w:rFonts w:ascii="Times New Roman" w:hAnsi="Times New Roman" w:cs="Times New Roman"/>
        </w:rPr>
        <w:t>qualitatively similar with those in Table 4 and 5, indicating that our earlier results hold among firms that are less dependent on external finance. What is new here is that the coefficient on the three-term interaction is mostly significant as well. The directions suggest that the country effects are more significant among firms that are more dependent on external financing</w:t>
      </w:r>
      <w:r w:rsidR="00821BD4" w:rsidRPr="00970C35">
        <w:rPr>
          <w:rFonts w:ascii="Times New Roman" w:hAnsi="Times New Roman" w:cs="Times New Roman"/>
        </w:rPr>
        <w:t>.</w:t>
      </w:r>
      <w:r w:rsidRPr="00970C35">
        <w:rPr>
          <w:rFonts w:ascii="Times New Roman" w:hAnsi="Times New Roman" w:cs="Times New Roman"/>
        </w:rPr>
        <w:t xml:space="preserve"> For example, the coefficient on EXTERNAL FINANCE × </w:t>
      </w:r>
      <w:r w:rsidR="003F2301" w:rsidRPr="00970C35">
        <w:rPr>
          <w:rFonts w:ascii="Times New Roman" w:hAnsi="Times New Roman" w:cs="Times New Roman"/>
        </w:rPr>
        <w:t xml:space="preserve">AD × </w:t>
      </w:r>
      <w:r w:rsidRPr="00970C35">
        <w:rPr>
          <w:rFonts w:ascii="Times New Roman" w:hAnsi="Times New Roman" w:cs="Times New Roman"/>
        </w:rPr>
        <w:t xml:space="preserve">Q4 Dummy </w:t>
      </w:r>
      <w:r w:rsidR="003F2301" w:rsidRPr="00970C35">
        <w:rPr>
          <w:rFonts w:ascii="Times New Roman" w:hAnsi="Times New Roman" w:cs="Times New Roman"/>
        </w:rPr>
        <w:t xml:space="preserve">(-0.0115) </w:t>
      </w:r>
      <w:r w:rsidRPr="00970C35">
        <w:rPr>
          <w:rFonts w:ascii="Times New Roman" w:hAnsi="Times New Roman" w:cs="Times New Roman"/>
        </w:rPr>
        <w:t>is negative and statistically significant, indicating that among firms that are more dependent on external financing, the anti-director index plays a more important role in reducing firms’ investment</w:t>
      </w:r>
      <w:r w:rsidR="00C462AD" w:rsidRPr="00970C35">
        <w:rPr>
          <w:rFonts w:ascii="Times New Roman" w:hAnsi="Times New Roman" w:cs="Times New Roman"/>
        </w:rPr>
        <w:t>s</w:t>
      </w:r>
      <w:r w:rsidRPr="00970C35">
        <w:rPr>
          <w:rFonts w:ascii="Times New Roman" w:hAnsi="Times New Roman" w:cs="Times New Roman"/>
        </w:rPr>
        <w:t xml:space="preserve"> in the fourth fiscal quarter.</w:t>
      </w:r>
    </w:p>
    <w:p w:rsidR="00821BD4" w:rsidRPr="00970C35" w:rsidRDefault="00C462AD" w:rsidP="00F47AA0">
      <w:pPr>
        <w:spacing w:after="240" w:line="480" w:lineRule="auto"/>
        <w:jc w:val="center"/>
        <w:rPr>
          <w:rFonts w:ascii="Times New Roman" w:hAnsi="Times New Roman" w:cs="Times New Roman"/>
        </w:rPr>
      </w:pPr>
      <w:r w:rsidRPr="00970C35">
        <w:rPr>
          <w:rFonts w:ascii="Times New Roman" w:hAnsi="Times New Roman" w:cs="Times New Roman"/>
        </w:rPr>
        <w:t>[</w:t>
      </w:r>
      <w:r w:rsidR="00821BD4" w:rsidRPr="00970C35">
        <w:rPr>
          <w:rFonts w:ascii="Times New Roman" w:hAnsi="Times New Roman" w:cs="Times New Roman"/>
        </w:rPr>
        <w:t xml:space="preserve">Insert Table </w:t>
      </w:r>
      <w:r w:rsidR="00532BF8" w:rsidRPr="00970C35">
        <w:rPr>
          <w:rFonts w:ascii="Times New Roman" w:hAnsi="Times New Roman" w:cs="Times New Roman"/>
        </w:rPr>
        <w:t>9</w:t>
      </w:r>
      <w:r w:rsidR="00821BD4" w:rsidRPr="00970C35">
        <w:rPr>
          <w:rFonts w:ascii="Times New Roman" w:hAnsi="Times New Roman" w:cs="Times New Roman"/>
        </w:rPr>
        <w:t xml:space="preserve"> here</w:t>
      </w:r>
      <w:r w:rsidRPr="00970C35">
        <w:rPr>
          <w:rFonts w:ascii="Times New Roman" w:hAnsi="Times New Roman" w:cs="Times New Roman"/>
        </w:rPr>
        <w:t>]</w:t>
      </w:r>
    </w:p>
    <w:p w:rsidR="00821BD4" w:rsidRPr="00970C35" w:rsidRDefault="00BF7092" w:rsidP="00246320">
      <w:pPr>
        <w:autoSpaceDE w:val="0"/>
        <w:autoSpaceDN w:val="0"/>
        <w:adjustRightInd w:val="0"/>
        <w:spacing w:after="0" w:line="480" w:lineRule="auto"/>
        <w:jc w:val="both"/>
        <w:rPr>
          <w:rFonts w:ascii="Times New Roman" w:hAnsi="Times New Roman" w:cs="Times New Roman"/>
        </w:rPr>
      </w:pPr>
      <w:r w:rsidRPr="00970C35">
        <w:rPr>
          <w:rFonts w:ascii="Times New Roman" w:hAnsi="Times New Roman" w:cs="Times New Roman"/>
        </w:rPr>
        <w:t>5</w:t>
      </w:r>
      <w:r w:rsidR="00821BD4" w:rsidRPr="00970C35">
        <w:rPr>
          <w:rFonts w:ascii="Times New Roman" w:hAnsi="Times New Roman" w:cs="Times New Roman"/>
        </w:rPr>
        <w:t>.</w:t>
      </w:r>
      <w:r w:rsidR="0018557B" w:rsidRPr="00970C35">
        <w:rPr>
          <w:rFonts w:ascii="Times New Roman" w:hAnsi="Times New Roman" w:cs="Times New Roman"/>
        </w:rPr>
        <w:t>6</w:t>
      </w:r>
      <w:r w:rsidR="00821BD4" w:rsidRPr="00970C35">
        <w:rPr>
          <w:rFonts w:ascii="Times New Roman" w:hAnsi="Times New Roman" w:cs="Times New Roman"/>
        </w:rPr>
        <w:t xml:space="preserve">. Tax </w:t>
      </w:r>
      <w:r w:rsidR="006269D6" w:rsidRPr="00970C35">
        <w:rPr>
          <w:rFonts w:ascii="Times New Roman" w:hAnsi="Times New Roman" w:cs="Times New Roman"/>
        </w:rPr>
        <w:t>R</w:t>
      </w:r>
      <w:r w:rsidR="00821BD4" w:rsidRPr="00970C35">
        <w:rPr>
          <w:rFonts w:ascii="Times New Roman" w:hAnsi="Times New Roman" w:cs="Times New Roman"/>
        </w:rPr>
        <w:t>ate</w:t>
      </w:r>
    </w:p>
    <w:p w:rsidR="00821BD4" w:rsidRPr="00970C35" w:rsidRDefault="00AA59E8" w:rsidP="00246320">
      <w:pPr>
        <w:autoSpaceDE w:val="0"/>
        <w:autoSpaceDN w:val="0"/>
        <w:adjustRightInd w:val="0"/>
        <w:spacing w:after="0" w:line="480" w:lineRule="auto"/>
        <w:jc w:val="both"/>
        <w:rPr>
          <w:rFonts w:ascii="Times New Roman" w:hAnsi="Times New Roman" w:cs="Times New Roman"/>
        </w:rPr>
      </w:pPr>
      <w:r w:rsidRPr="00970C35">
        <w:rPr>
          <w:rFonts w:ascii="Times New Roman" w:hAnsi="Times New Roman" w:cs="Times New Roman"/>
        </w:rPr>
        <w:t xml:space="preserve">In </w:t>
      </w:r>
      <w:r w:rsidR="00821BD4"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"author" : [ { "dropping-particle" : "", "family" : "Kinney", "given" : "Michael", "non-dropping-particle" : "", "parse-names" : false, "suffix" : "" }, { "dropping-particle" : "", "family" : "Trezevant", "given" : "Robert H.", "non-dropping-particle" : "", "parse-names" : false, "suffix" : "" } ], "container-title" : "The Journal of the American Taxation Association", "id" : "ITEM-1", "issue" : "15", "issued" : { "date-parts" : [ [ "1993" ] ] }, "page" : "40-62", "title" : "Taxes and the timing of coporate capital expenditures", "type" : "article-journal" }, "uris" : [ "http://www.mendeley.com/documents/?uuid=2a3d4edd-23ed-4779-984b-d7edde24e8fe" ] } ], "mendeley" : { "formattedCitation" : "Kinney and Trezevant (1993)", "plainTextFormattedCitation" : "Kinney and Trezevant (1993)", "previouslyFormattedCitation" : "Kinney and Trezevant (1993)" }, "properties" : { "noteIndex" : 0 }, "schema" : "https://github.com/citation-style-language/schema/raw/master/csl-citation.json" }</w:instrText>
      </w:r>
      <w:r w:rsidR="00821BD4" w:rsidRPr="00970C35">
        <w:rPr>
          <w:rFonts w:ascii="Times New Roman" w:hAnsi="Times New Roman" w:cs="Times New Roman"/>
        </w:rPr>
        <w:fldChar w:fldCharType="separate"/>
      </w:r>
      <w:r w:rsidR="00C462AD" w:rsidRPr="00970C35">
        <w:rPr>
          <w:rFonts w:ascii="Times New Roman" w:hAnsi="Times New Roman" w:cs="Times New Roman"/>
          <w:noProof/>
        </w:rPr>
        <w:t>Kinney and Trezevant (1993)</w:t>
      </w:r>
      <w:r w:rsidR="00821BD4" w:rsidRPr="00970C35">
        <w:rPr>
          <w:rFonts w:ascii="Times New Roman" w:hAnsi="Times New Roman" w:cs="Times New Roman"/>
        </w:rPr>
        <w:fldChar w:fldCharType="end"/>
      </w:r>
      <w:r w:rsidRPr="00970C35">
        <w:rPr>
          <w:rFonts w:ascii="Times New Roman" w:hAnsi="Times New Roman" w:cs="Times New Roman"/>
        </w:rPr>
        <w:t>, the authors</w:t>
      </w:r>
      <w:r w:rsidR="00821BD4" w:rsidRPr="00970C35">
        <w:rPr>
          <w:rFonts w:ascii="Times New Roman" w:hAnsi="Times New Roman" w:cs="Times New Roman"/>
        </w:rPr>
        <w:t xml:space="preserve"> argue that firms make higher capital expenditure</w:t>
      </w:r>
      <w:r w:rsidR="00C462AD" w:rsidRPr="00970C35">
        <w:rPr>
          <w:rFonts w:ascii="Times New Roman" w:hAnsi="Times New Roman" w:cs="Times New Roman"/>
        </w:rPr>
        <w:t>s during the</w:t>
      </w:r>
      <w:r w:rsidR="00821BD4" w:rsidRPr="00970C35">
        <w:rPr>
          <w:rFonts w:ascii="Times New Roman" w:hAnsi="Times New Roman" w:cs="Times New Roman"/>
        </w:rPr>
        <w:t xml:space="preserve"> fourth fiscal quarter in </w:t>
      </w:r>
      <w:r w:rsidR="003F2301" w:rsidRPr="00970C35">
        <w:rPr>
          <w:rFonts w:ascii="Times New Roman" w:hAnsi="Times New Roman" w:cs="Times New Roman"/>
        </w:rPr>
        <w:t>the current</w:t>
      </w:r>
      <w:r w:rsidR="00821BD4" w:rsidRPr="00970C35">
        <w:rPr>
          <w:rFonts w:ascii="Times New Roman" w:hAnsi="Times New Roman" w:cs="Times New Roman"/>
        </w:rPr>
        <w:t xml:space="preserve"> year rather than the following year to increase the present value of the tax shields provided by depreciation and investment tax credit. </w:t>
      </w:r>
      <w:r w:rsidR="00EB515C" w:rsidRPr="00970C35">
        <w:rPr>
          <w:rFonts w:ascii="Times New Roman" w:hAnsi="Times New Roman" w:cs="Times New Roman"/>
        </w:rPr>
        <w:t xml:space="preserve">Although tax-related concerns are plausible, the results in </w:t>
      </w:r>
      <w:r w:rsidR="00EB515C"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"10.1145/2462456.2464460", "ISBN" : "9781450316729", "abstract" : "Many organizations fund their spending out of a fixed budget that expires at year\u2019s end. Faced with uncertainty over future spending demands, these organizations have an incentive to build a buffer stock of funds over the front end of the budget cycle. When demand does not materialize, they then rush to spend these funds on lower quality projects at the end of the year. We test these predictions using data on procurement spending by the U.S. federal government. Using data on all federal contracts from 2004 through 2009, we document that spending spikes in all major federal agencies during the 52nd week of the year as the agencies rush to exhaust expiring budget authority. Spending in the last week of the year is 4.9 times higher than the rest-of-the-year weekly average. We examine the relative quality of year-end spending using a newly available dataset that tracks the quality of $130 billion in information technology (I.T.) projects made by federal agencies. Consistent with the model, average project quality falls at the end of the year. Quality scores in the last week of the year are 2.2 to 5.6 times more likely to be below the central value. To explore the impact of allowing agencies to roll unused spending over into subsequent fiscal years, we study the I.T. contracts of an agency with special authority to roll over unused funding. We show that there is only a small end-of-year I.T. spending spike in this agency and that the one major I.T. contract this agency issued in the 52nd week of the year has a quality rating that is well above average.", "author" : [ { "dropping-particle" : "", "family" : "Liebman", "given" : "Jeffrey B.", "non-dropping-particle" : "", "parse-names" : false, "suffix" : "" }, { "dropping-particle" : "", "family" : "Mahoney", "given" : "Neale", "non-dropping-particle" : "", "parse-names" : false, "suffix" : "" } ], "container-title" : "NBER Working Paper 19481", "id" : "ITEM-1", "issued" : { "date-parts" : [ [ "2013" ] ] }, "title" : "Do Expiring Budgets Lead to Wasteful Year-end Spending? Evidence from Federal Procurement", "type" : "article-journal" }, "uris" : [ "http://www.mendeley.com/documents/?uuid=41b060e0-767a-4e6b-a466-adb96bd583b0" ] } ], "mendeley" : { "formattedCitation" : "Liebman and Mahoney (2013)", "plainTextFormattedCitation" : "Liebman and Mahoney (2013)", "previouslyFormattedCitation" : "Liebman and Mahoney (2013)" }, "properties" : { "noteIndex" : 0 }, "schema" : "https://github.com/citation-style-language/schema/raw/master/csl-citation.json" }</w:instrText>
      </w:r>
      <w:r w:rsidR="00EB515C" w:rsidRPr="00970C35">
        <w:rPr>
          <w:rFonts w:ascii="Times New Roman" w:hAnsi="Times New Roman" w:cs="Times New Roman"/>
        </w:rPr>
        <w:fldChar w:fldCharType="separate"/>
      </w:r>
      <w:r w:rsidR="00C462AD" w:rsidRPr="00970C35">
        <w:rPr>
          <w:rFonts w:ascii="Times New Roman" w:hAnsi="Times New Roman" w:cs="Times New Roman"/>
          <w:noProof/>
        </w:rPr>
        <w:t>Liebman and Mahoney (2013)</w:t>
      </w:r>
      <w:r w:rsidR="00EB515C" w:rsidRPr="00970C35">
        <w:rPr>
          <w:rFonts w:ascii="Times New Roman" w:hAnsi="Times New Roman" w:cs="Times New Roman"/>
        </w:rPr>
        <w:fldChar w:fldCharType="end"/>
      </w:r>
      <w:r w:rsidR="00EB515C" w:rsidRPr="00970C35">
        <w:rPr>
          <w:rFonts w:ascii="Times New Roman" w:hAnsi="Times New Roman" w:cs="Times New Roman"/>
        </w:rPr>
        <w:t xml:space="preserve"> imply that they are not the only reason for the “use it or lose it” </w:t>
      </w:r>
      <w:r w:rsidR="00C462AD" w:rsidRPr="00970C35">
        <w:rPr>
          <w:rFonts w:ascii="Times New Roman" w:hAnsi="Times New Roman" w:cs="Times New Roman"/>
        </w:rPr>
        <w:t>dilemma</w:t>
      </w:r>
      <w:r w:rsidR="00EB515C" w:rsidRPr="00970C35">
        <w:rPr>
          <w:rFonts w:ascii="Times New Roman" w:hAnsi="Times New Roman" w:cs="Times New Roman"/>
        </w:rPr>
        <w:t xml:space="preserve"> because the results are based on data from </w:t>
      </w:r>
      <w:r w:rsidR="00C462AD" w:rsidRPr="00970C35">
        <w:rPr>
          <w:rFonts w:ascii="Times New Roman" w:hAnsi="Times New Roman" w:cs="Times New Roman"/>
        </w:rPr>
        <w:t xml:space="preserve">the </w:t>
      </w:r>
      <w:r w:rsidR="00EB515C" w:rsidRPr="00970C35">
        <w:rPr>
          <w:rFonts w:ascii="Times New Roman" w:hAnsi="Times New Roman" w:cs="Times New Roman"/>
        </w:rPr>
        <w:t xml:space="preserve">public sector, which does not have incentives to manipulate the timing of their spending to </w:t>
      </w:r>
      <w:r w:rsidR="00C462AD" w:rsidRPr="00970C35">
        <w:rPr>
          <w:rFonts w:ascii="Times New Roman" w:hAnsi="Times New Roman" w:cs="Times New Roman"/>
        </w:rPr>
        <w:t>reduce tax liabilities</w:t>
      </w:r>
      <w:r w:rsidR="00EB515C" w:rsidRPr="00970C35">
        <w:rPr>
          <w:rFonts w:ascii="Times New Roman" w:hAnsi="Times New Roman" w:cs="Times New Roman"/>
        </w:rPr>
        <w:t>. Still, w</w:t>
      </w:r>
      <w:r w:rsidR="00821BD4" w:rsidRPr="00970C35">
        <w:rPr>
          <w:rFonts w:ascii="Times New Roman" w:hAnsi="Times New Roman" w:cs="Times New Roman"/>
        </w:rPr>
        <w:t>e attempt to</w:t>
      </w:r>
      <w:r w:rsidR="00EB515C" w:rsidRPr="00970C35">
        <w:rPr>
          <w:rFonts w:ascii="Times New Roman" w:hAnsi="Times New Roman" w:cs="Times New Roman"/>
        </w:rPr>
        <w:t xml:space="preserve"> </w:t>
      </w:r>
      <w:r w:rsidR="00821BD4" w:rsidRPr="00970C35">
        <w:rPr>
          <w:rFonts w:ascii="Times New Roman" w:hAnsi="Times New Roman" w:cs="Times New Roman"/>
        </w:rPr>
        <w:t xml:space="preserve">address this concern from two aspects. First, we construct an implicit tax rate variable to measure firms’ tax rate, and the hypothesis is that there is a positive relation between tax rate and the </w:t>
      </w:r>
      <w:r w:rsidR="003A7D27" w:rsidRPr="00970C35">
        <w:rPr>
          <w:rFonts w:ascii="Times New Roman" w:hAnsi="Times New Roman" w:cs="Times New Roman"/>
        </w:rPr>
        <w:t>“</w:t>
      </w:r>
      <w:r w:rsidR="00821BD4" w:rsidRPr="00970C35">
        <w:rPr>
          <w:rFonts w:ascii="Times New Roman" w:hAnsi="Times New Roman" w:cs="Times New Roman"/>
        </w:rPr>
        <w:t>fourth quarter effect</w:t>
      </w:r>
      <w:r w:rsidR="003A7D27" w:rsidRPr="00970C35">
        <w:rPr>
          <w:rFonts w:ascii="Times New Roman" w:hAnsi="Times New Roman" w:cs="Times New Roman"/>
        </w:rPr>
        <w:t>”</w:t>
      </w:r>
      <w:r w:rsidR="00821BD4" w:rsidRPr="00970C35">
        <w:rPr>
          <w:rFonts w:ascii="Times New Roman" w:hAnsi="Times New Roman" w:cs="Times New Roman"/>
        </w:rPr>
        <w:t xml:space="preserve">. In our tests, </w:t>
      </w:r>
      <w:r w:rsidR="00532BF8" w:rsidRPr="00970C35">
        <w:rPr>
          <w:rFonts w:ascii="Times New Roman" w:hAnsi="Times New Roman" w:cs="Times New Roman"/>
        </w:rPr>
        <w:t xml:space="preserve">implicit </w:t>
      </w:r>
      <w:r w:rsidR="00821BD4" w:rsidRPr="00970C35">
        <w:rPr>
          <w:rFonts w:ascii="Times New Roman" w:hAnsi="Times New Roman" w:cs="Times New Roman"/>
        </w:rPr>
        <w:t>tax rate for a company in a certain year is defined as annual total income taxes divided by taxable income</w:t>
      </w:r>
      <w:r w:rsidR="00C462AD" w:rsidRPr="00970C35">
        <w:rPr>
          <w:rFonts w:ascii="Times New Roman" w:hAnsi="Times New Roman" w:cs="Times New Roman"/>
        </w:rPr>
        <w:t>.</w:t>
      </w:r>
      <w:r w:rsidR="00821BD4" w:rsidRPr="00970C35">
        <w:rPr>
          <w:rFonts w:ascii="Times New Roman" w:hAnsi="Times New Roman" w:cs="Times New Roman"/>
        </w:rPr>
        <w:t xml:space="preserve"> </w:t>
      </w:r>
      <w:r w:rsidR="00C462AD" w:rsidRPr="00970C35">
        <w:rPr>
          <w:rFonts w:ascii="Times New Roman" w:hAnsi="Times New Roman" w:cs="Times New Roman"/>
        </w:rPr>
        <w:t>W</w:t>
      </w:r>
      <w:r w:rsidR="00821BD4" w:rsidRPr="00970C35">
        <w:rPr>
          <w:rFonts w:ascii="Times New Roman" w:hAnsi="Times New Roman" w:cs="Times New Roman"/>
        </w:rPr>
        <w:t>e include</w:t>
      </w:r>
      <w:r w:rsidR="00532BF8" w:rsidRPr="00970C35">
        <w:rPr>
          <w:rFonts w:ascii="Times New Roman" w:hAnsi="Times New Roman" w:cs="Times New Roman"/>
        </w:rPr>
        <w:t xml:space="preserve"> implicit</w:t>
      </w:r>
      <w:r w:rsidR="00821BD4" w:rsidRPr="00970C35">
        <w:rPr>
          <w:rFonts w:ascii="Times New Roman" w:hAnsi="Times New Roman" w:cs="Times New Roman"/>
        </w:rPr>
        <w:t xml:space="preserve"> tax rate</w:t>
      </w:r>
      <w:r w:rsidR="00C462AD" w:rsidRPr="00970C35">
        <w:rPr>
          <w:rFonts w:ascii="Times New Roman" w:hAnsi="Times New Roman" w:cs="Times New Roman"/>
        </w:rPr>
        <w:t>,</w:t>
      </w:r>
      <w:r w:rsidR="00821BD4" w:rsidRPr="00970C35">
        <w:rPr>
          <w:rFonts w:ascii="Times New Roman" w:hAnsi="Times New Roman" w:cs="Times New Roman"/>
        </w:rPr>
        <w:t xml:space="preserve"> and the interaction of tax rate and fourth quarter dummy in most of the regressions. As is shown in Table 4 Panel A and Table 5, the interaction term is positive and statistically significant, but as we suspect, it does not drive away the results for other variables that we are more interested in and thus cannot explain the whole phenomenon. </w:t>
      </w:r>
      <w:r w:rsidR="00B93D70" w:rsidRPr="00970C35">
        <w:rPr>
          <w:rFonts w:ascii="Times New Roman" w:hAnsi="Times New Roman" w:cs="Times New Roman"/>
        </w:rPr>
        <w:t>Second, w</w:t>
      </w:r>
      <w:r w:rsidR="00821BD4" w:rsidRPr="00970C35">
        <w:rPr>
          <w:rFonts w:ascii="Times New Roman" w:hAnsi="Times New Roman" w:cs="Times New Roman"/>
        </w:rPr>
        <w:t xml:space="preserve">e obtain country-level </w:t>
      </w:r>
      <w:r w:rsidR="009C65AB" w:rsidRPr="00970C35">
        <w:rPr>
          <w:rFonts w:ascii="Times New Roman" w:hAnsi="Times New Roman" w:cs="Times New Roman"/>
        </w:rPr>
        <w:t xml:space="preserve">flat or top </w:t>
      </w:r>
      <w:r w:rsidR="009C65AB" w:rsidRPr="00970C35">
        <w:rPr>
          <w:rFonts w:ascii="Times New Roman" w:hAnsi="Times New Roman" w:cs="Times New Roman"/>
        </w:rPr>
        <w:lastRenderedPageBreak/>
        <w:t xml:space="preserve">marginal corporate income tax rate </w:t>
      </w:r>
      <w:r w:rsidR="00821BD4" w:rsidRPr="00970C35">
        <w:rPr>
          <w:rFonts w:ascii="Times New Roman" w:hAnsi="Times New Roman" w:cs="Times New Roman"/>
        </w:rPr>
        <w:t xml:space="preserve">from </w:t>
      </w:r>
      <w:r w:rsidR="00C462AD" w:rsidRPr="00970C35">
        <w:rPr>
          <w:rFonts w:ascii="Times New Roman" w:hAnsi="Times New Roman" w:cs="Times New Roman"/>
        </w:rPr>
        <w:t xml:space="preserve">the </w:t>
      </w:r>
      <w:r w:rsidR="007049C6" w:rsidRPr="00970C35">
        <w:rPr>
          <w:rFonts w:ascii="Times New Roman" w:hAnsi="Times New Roman" w:cs="Times New Roman"/>
        </w:rPr>
        <w:t>OECD database</w:t>
      </w:r>
      <w:r w:rsidR="00821BD4" w:rsidRPr="00970C35">
        <w:rPr>
          <w:rFonts w:ascii="Times New Roman" w:hAnsi="Times New Roman" w:cs="Times New Roman"/>
        </w:rPr>
        <w:t xml:space="preserve">, and interact the variable with the fourth quarter dummy and include them in our regressions as we do for other country-level variables. As Table </w:t>
      </w:r>
      <w:r w:rsidR="003B16BB" w:rsidRPr="00970C35">
        <w:rPr>
          <w:rFonts w:ascii="Times New Roman" w:hAnsi="Times New Roman" w:cs="Times New Roman"/>
        </w:rPr>
        <w:t>10</w:t>
      </w:r>
      <w:r w:rsidR="00821BD4" w:rsidRPr="00970C35">
        <w:rPr>
          <w:rFonts w:ascii="Times New Roman" w:hAnsi="Times New Roman" w:cs="Times New Roman"/>
        </w:rPr>
        <w:t xml:space="preserve"> shows, tax rate at</w:t>
      </w:r>
      <w:r w:rsidR="00C462AD" w:rsidRPr="00970C35">
        <w:rPr>
          <w:rFonts w:ascii="Times New Roman" w:hAnsi="Times New Roman" w:cs="Times New Roman"/>
        </w:rPr>
        <w:t xml:space="preserve"> the</w:t>
      </w:r>
      <w:r w:rsidR="00821BD4" w:rsidRPr="00970C35">
        <w:rPr>
          <w:rFonts w:ascii="Times New Roman" w:hAnsi="Times New Roman" w:cs="Times New Roman"/>
        </w:rPr>
        <w:t xml:space="preserve"> country level does not </w:t>
      </w:r>
      <w:r w:rsidR="00C462AD" w:rsidRPr="00970C35">
        <w:rPr>
          <w:rFonts w:ascii="Times New Roman" w:hAnsi="Times New Roman" w:cs="Times New Roman"/>
        </w:rPr>
        <w:t>appear</w:t>
      </w:r>
      <w:r w:rsidR="00821BD4" w:rsidRPr="00970C35">
        <w:rPr>
          <w:rFonts w:ascii="Times New Roman" w:hAnsi="Times New Roman" w:cs="Times New Roman"/>
        </w:rPr>
        <w:t xml:space="preserve"> to affect firms’ investment pattern in the fourth quarter, whether or not firm-level tax rate is controlled</w:t>
      </w:r>
      <w:r w:rsidR="00C462AD" w:rsidRPr="00970C35">
        <w:rPr>
          <w:rFonts w:ascii="Times New Roman" w:hAnsi="Times New Roman" w:cs="Times New Roman"/>
        </w:rPr>
        <w:t xml:space="preserve"> for</w:t>
      </w:r>
      <w:r w:rsidR="00821BD4" w:rsidRPr="00970C35">
        <w:rPr>
          <w:rFonts w:ascii="Times New Roman" w:hAnsi="Times New Roman" w:cs="Times New Roman"/>
        </w:rPr>
        <w:t xml:space="preserve">. </w:t>
      </w:r>
    </w:p>
    <w:p w:rsidR="00821BD4" w:rsidRPr="00970C35" w:rsidRDefault="00821BD4" w:rsidP="000E266E">
      <w:pPr>
        <w:autoSpaceDE w:val="0"/>
        <w:autoSpaceDN w:val="0"/>
        <w:adjustRightInd w:val="0"/>
        <w:spacing w:after="0" w:line="480" w:lineRule="auto"/>
        <w:ind w:firstLine="288"/>
        <w:jc w:val="both"/>
        <w:rPr>
          <w:rFonts w:ascii="Times New Roman" w:hAnsi="Times New Roman" w:cs="Times New Roman"/>
        </w:rPr>
      </w:pPr>
      <w:r w:rsidRPr="00970C35">
        <w:rPr>
          <w:rFonts w:ascii="Times New Roman" w:hAnsi="Times New Roman" w:cs="Times New Roman"/>
        </w:rPr>
        <w:t xml:space="preserve">This alleviates the concern that fourth-quarter-effect is mainly driven by tax incentives. Although there are tax-motivated quarterly manipulations documented in the earnings management literature in accounting (e.g. </w:t>
      </w:r>
      <w:r w:rsidRPr="00970C35">
        <w:rPr>
          <w:rFonts w:ascii="Times New Roman" w:hAnsi="Times New Roman" w:cs="Times New Roman"/>
        </w:rPr>
        <w:fldChar w:fldCharType="begin" w:fldLock="1"/>
      </w:r>
      <w:r w:rsidR="00E57761">
        <w:rPr>
          <w:rFonts w:ascii="Times New Roman" w:hAnsi="Times New Roman" w:cs="Times New Roman"/>
        </w:rPr>
        <w:instrText>ADDIN CSL_CITATION { "citationItems" : [ { "id" : "ITEM-1", "itemData" : { "DOI" : "10.1506/car.26.3.7", "ISBN" : "08239150", "ISSN" : "0823-9150", "PMID" : "44282675", "abstract" : "The article introduces a study published within the issue titled \"Quarterly Earnings Patterns and Earnings Management,\" by Somnath Das, Pervin K. Shroff, and Haiwen Zhang, which discusses the identification of firms engaging in earnings management through the observation of patterns in quarterly earnings changes.", "author" : [ { "dropping-particle" : "", "family" : "Das", "given" : "Somnath", "non-dropping-particle" : "", "parse-names" : false, "suffix" : "" }, { "dropping-particle" : "", "family" : "Shroff", "given" : "Pervin K", "non-dropping-particle" : "", "parse-names" : false, "suffix" : "" }, { "dropping-particle" : "", "family" : "Zhang", "given" : "Haiwen", "non-dropping-particle" : "", "parse-names" : false, "suffix" : "" } ], "container-title" : "Contemporary Accounting Research", "id" : "ITEM-1", "issue" : "3", "issued" : { "date-parts" : [ [ "2009" ] ] }, "page" : "797-831", "title" : "Quarterly Earnings Patterns and Earnings Management", "type" : "article-journal", "volume" : "26" }, "uris" : [ "http://www.mendeley.com/documents/?uuid=19a68095-7721-4f62-94c1-0b91bbc5fdfb" ] } ], "mendeley" : { "formattedCitation" : "Das, Shroff, and Zhang (2009)", "manualFormatting" : "Das, Shroff, and Zhang, 2009", "plainTextFormattedCitation" : "Das, Shroff, and Zhang (2009)", "previouslyFormattedCitation" : "Das, Shroff, and Zhang (2009)" }, "properties" : { "noteIndex" : 0 }, "schema" : "https://github.com/citation-style-language/schema/raw/master/csl-citation.json" }</w:instrText>
      </w:r>
      <w:r w:rsidRPr="00970C35">
        <w:rPr>
          <w:rFonts w:ascii="Times New Roman" w:hAnsi="Times New Roman" w:cs="Times New Roman"/>
        </w:rPr>
        <w:fldChar w:fldCharType="separate"/>
      </w:r>
      <w:r w:rsidRPr="00970C35">
        <w:rPr>
          <w:rFonts w:ascii="Times New Roman" w:hAnsi="Times New Roman" w:cs="Times New Roman"/>
          <w:noProof/>
        </w:rPr>
        <w:t>Das, Shroff, and Zhang, 2009</w:t>
      </w:r>
      <w:r w:rsidRPr="00970C35">
        <w:rPr>
          <w:rFonts w:ascii="Times New Roman" w:hAnsi="Times New Roman" w:cs="Times New Roman"/>
        </w:rPr>
        <w:fldChar w:fldCharType="end"/>
      </w:r>
      <w:r w:rsidRPr="00970C35">
        <w:rPr>
          <w:rFonts w:ascii="Times New Roman" w:hAnsi="Times New Roman" w:cs="Times New Roman"/>
        </w:rPr>
        <w:t>), it does not seem to have</w:t>
      </w:r>
      <w:r w:rsidR="00C462AD" w:rsidRPr="00970C35">
        <w:rPr>
          <w:rFonts w:ascii="Times New Roman" w:hAnsi="Times New Roman" w:cs="Times New Roman"/>
        </w:rPr>
        <w:t xml:space="preserve"> a</w:t>
      </w:r>
      <w:r w:rsidRPr="00970C35">
        <w:rPr>
          <w:rFonts w:ascii="Times New Roman" w:hAnsi="Times New Roman" w:cs="Times New Roman"/>
        </w:rPr>
        <w:t xml:space="preserve"> direct impact on firms’ quarterly investment patterns. In addition, </w:t>
      </w:r>
      <w:r w:rsidR="00532BF8" w:rsidRPr="00970C35">
        <w:rPr>
          <w:rFonts w:ascii="Times New Roman" w:hAnsi="Times New Roman" w:cs="Times New Roman"/>
        </w:rPr>
        <w:t>there is no reason to expect that earnings management typically</w:t>
      </w:r>
      <w:r w:rsidRPr="00970C35">
        <w:rPr>
          <w:rFonts w:ascii="Times New Roman" w:hAnsi="Times New Roman" w:cs="Times New Roman"/>
        </w:rPr>
        <w:t xml:space="preserve"> </w:t>
      </w:r>
      <w:r w:rsidR="00532BF8" w:rsidRPr="00970C35">
        <w:rPr>
          <w:rFonts w:ascii="Times New Roman" w:hAnsi="Times New Roman" w:cs="Times New Roman"/>
        </w:rPr>
        <w:t>leads</w:t>
      </w:r>
      <w:r w:rsidRPr="00970C35">
        <w:rPr>
          <w:rFonts w:ascii="Times New Roman" w:hAnsi="Times New Roman" w:cs="Times New Roman"/>
        </w:rPr>
        <w:t xml:space="preserve"> to the pattern </w:t>
      </w:r>
      <w:r w:rsidR="00532BF8" w:rsidRPr="00970C35">
        <w:rPr>
          <w:rFonts w:ascii="Times New Roman" w:hAnsi="Times New Roman" w:cs="Times New Roman"/>
        </w:rPr>
        <w:t xml:space="preserve">of quarterly investment </w:t>
      </w:r>
      <w:r w:rsidRPr="00970C35">
        <w:rPr>
          <w:rFonts w:ascii="Times New Roman" w:hAnsi="Times New Roman" w:cs="Times New Roman"/>
        </w:rPr>
        <w:t xml:space="preserve">documented in this and the earlier </w:t>
      </w:r>
      <w:r w:rsidR="00C462AD" w:rsidRPr="00970C35">
        <w:rPr>
          <w:rFonts w:ascii="Times New Roman" w:hAnsi="Times New Roman" w:cs="Times New Roman"/>
        </w:rPr>
        <w:t>studies</w:t>
      </w:r>
      <w:r w:rsidRPr="00970C35">
        <w:rPr>
          <w:rFonts w:ascii="Times New Roman" w:hAnsi="Times New Roman" w:cs="Times New Roman"/>
        </w:rPr>
        <w:t xml:space="preserve">. </w:t>
      </w:r>
    </w:p>
    <w:p w:rsidR="00F53C8D" w:rsidRPr="00970C35" w:rsidRDefault="00F53C8D" w:rsidP="00F53C8D">
      <w:pPr>
        <w:spacing w:after="240" w:line="480" w:lineRule="auto"/>
        <w:jc w:val="center"/>
        <w:rPr>
          <w:rFonts w:ascii="Times New Roman" w:hAnsi="Times New Roman" w:cs="Times New Roman"/>
        </w:rPr>
      </w:pPr>
      <w:r w:rsidRPr="00970C35">
        <w:rPr>
          <w:rFonts w:ascii="Times New Roman" w:hAnsi="Times New Roman" w:cs="Times New Roman"/>
        </w:rPr>
        <w:t>Insert Table 10 here</w:t>
      </w:r>
    </w:p>
    <w:p w:rsidR="00821BD4" w:rsidRPr="00970C35" w:rsidRDefault="00BF7092" w:rsidP="00246320">
      <w:pPr>
        <w:autoSpaceDE w:val="0"/>
        <w:autoSpaceDN w:val="0"/>
        <w:adjustRightInd w:val="0"/>
        <w:spacing w:after="0" w:line="480" w:lineRule="auto"/>
        <w:jc w:val="both"/>
        <w:rPr>
          <w:rFonts w:ascii="Times New Roman" w:hAnsi="Times New Roman" w:cs="Times New Roman"/>
          <w:b/>
        </w:rPr>
      </w:pPr>
      <w:r w:rsidRPr="00970C35">
        <w:rPr>
          <w:rFonts w:ascii="Times New Roman" w:hAnsi="Times New Roman" w:cs="Times New Roman"/>
          <w:b/>
        </w:rPr>
        <w:t>6</w:t>
      </w:r>
      <w:r w:rsidR="00821BD4" w:rsidRPr="00970C35">
        <w:rPr>
          <w:rFonts w:ascii="Times New Roman" w:hAnsi="Times New Roman" w:cs="Times New Roman"/>
          <w:b/>
        </w:rPr>
        <w:t>. Conclusions</w:t>
      </w:r>
    </w:p>
    <w:p w:rsidR="00821BD4" w:rsidRPr="00970C35" w:rsidRDefault="00821BD4" w:rsidP="00246320">
      <w:pPr>
        <w:spacing w:after="0" w:line="480" w:lineRule="auto"/>
        <w:jc w:val="both"/>
        <w:rPr>
          <w:rFonts w:ascii="Times New Roman" w:hAnsi="Times New Roman" w:cs="Times New Roman"/>
        </w:rPr>
      </w:pPr>
      <w:r w:rsidRPr="00970C35">
        <w:rPr>
          <w:rFonts w:ascii="Times New Roman" w:hAnsi="Times New Roman" w:cs="Times New Roman"/>
        </w:rPr>
        <w:t>We investigate patterns of firm</w:t>
      </w:r>
      <w:r w:rsidR="00C462AD" w:rsidRPr="00970C35">
        <w:rPr>
          <w:rFonts w:ascii="Times New Roman" w:hAnsi="Times New Roman" w:cs="Times New Roman"/>
        </w:rPr>
        <w:t>s</w:t>
      </w:r>
      <w:r w:rsidRPr="00970C35">
        <w:rPr>
          <w:rFonts w:ascii="Times New Roman" w:hAnsi="Times New Roman" w:cs="Times New Roman"/>
        </w:rPr>
        <w:t>’ quarterly spending in</w:t>
      </w:r>
      <w:r w:rsidR="006E1769" w:rsidRPr="00970C35">
        <w:rPr>
          <w:rFonts w:ascii="Times New Roman" w:hAnsi="Times New Roman" w:cs="Times New Roman"/>
        </w:rPr>
        <w:t xml:space="preserve"> a sample of 41 countries</w:t>
      </w:r>
      <w:r w:rsidRPr="00970C35">
        <w:rPr>
          <w:rFonts w:ascii="Times New Roman" w:hAnsi="Times New Roman" w:cs="Times New Roman"/>
        </w:rPr>
        <w:t xml:space="preserve">. </w:t>
      </w:r>
      <w:r w:rsidR="00C462AD" w:rsidRPr="00970C35">
        <w:rPr>
          <w:rFonts w:ascii="Times New Roman" w:hAnsi="Times New Roman" w:cs="Times New Roman"/>
        </w:rPr>
        <w:t>Our research</w:t>
      </w:r>
      <w:r w:rsidRPr="00970C35">
        <w:rPr>
          <w:rFonts w:ascii="Times New Roman" w:hAnsi="Times New Roman" w:cs="Times New Roman"/>
        </w:rPr>
        <w:t xml:space="preserve"> resonate</w:t>
      </w:r>
      <w:r w:rsidR="00C462AD" w:rsidRPr="00970C35">
        <w:rPr>
          <w:rFonts w:ascii="Times New Roman" w:hAnsi="Times New Roman" w:cs="Times New Roman"/>
        </w:rPr>
        <w:t>s</w:t>
      </w:r>
      <w:r w:rsidRPr="00970C35">
        <w:rPr>
          <w:rFonts w:ascii="Times New Roman" w:hAnsi="Times New Roman" w:cs="Times New Roman"/>
        </w:rPr>
        <w:t xml:space="preserve"> with earlier studies</w:t>
      </w:r>
      <w:r w:rsidR="00C462AD" w:rsidRPr="00970C35">
        <w:rPr>
          <w:rFonts w:ascii="Times New Roman" w:hAnsi="Times New Roman" w:cs="Times New Roman"/>
        </w:rPr>
        <w:t>,</w:t>
      </w:r>
      <w:r w:rsidRPr="00970C35">
        <w:rPr>
          <w:rFonts w:ascii="Times New Roman" w:hAnsi="Times New Roman" w:cs="Times New Roman"/>
        </w:rPr>
        <w:t xml:space="preserve"> </w:t>
      </w:r>
      <w:r w:rsidR="00C462AD" w:rsidRPr="00970C35">
        <w:rPr>
          <w:rFonts w:ascii="Times New Roman" w:hAnsi="Times New Roman" w:cs="Times New Roman"/>
        </w:rPr>
        <w:t>which</w:t>
      </w:r>
      <w:r w:rsidRPr="00970C35">
        <w:rPr>
          <w:rFonts w:ascii="Times New Roman" w:hAnsi="Times New Roman" w:cs="Times New Roman"/>
        </w:rPr>
        <w:t xml:space="preserve"> document that </w:t>
      </w:r>
      <w:r w:rsidR="00CA5D3C" w:rsidRPr="00970C35">
        <w:rPr>
          <w:rFonts w:ascii="Times New Roman" w:hAnsi="Times New Roman" w:cs="Times New Roman"/>
        </w:rPr>
        <w:t>organizations in the U</w:t>
      </w:r>
      <w:r w:rsidR="00C462AD" w:rsidRPr="00970C35">
        <w:rPr>
          <w:rFonts w:ascii="Times New Roman" w:hAnsi="Times New Roman" w:cs="Times New Roman"/>
        </w:rPr>
        <w:t>.</w:t>
      </w:r>
      <w:r w:rsidR="00CA5D3C" w:rsidRPr="00970C35">
        <w:rPr>
          <w:rFonts w:ascii="Times New Roman" w:hAnsi="Times New Roman" w:cs="Times New Roman"/>
        </w:rPr>
        <w:t>S</w:t>
      </w:r>
      <w:r w:rsidR="00C462AD" w:rsidRPr="00970C35">
        <w:rPr>
          <w:rFonts w:ascii="Times New Roman" w:hAnsi="Times New Roman" w:cs="Times New Roman"/>
        </w:rPr>
        <w:t>.</w:t>
      </w:r>
      <w:r w:rsidRPr="00970C35">
        <w:rPr>
          <w:rFonts w:ascii="Times New Roman" w:hAnsi="Times New Roman" w:cs="Times New Roman"/>
        </w:rPr>
        <w:t xml:space="preserve"> tend to spend more towards the end of fiscal year even though </w:t>
      </w:r>
      <w:r w:rsidR="006E1769" w:rsidRPr="00970C35">
        <w:rPr>
          <w:rFonts w:ascii="Times New Roman" w:hAnsi="Times New Roman" w:cs="Times New Roman"/>
        </w:rPr>
        <w:t xml:space="preserve">the fourth quarter </w:t>
      </w:r>
      <w:r w:rsidRPr="00970C35">
        <w:rPr>
          <w:rFonts w:ascii="Times New Roman" w:hAnsi="Times New Roman" w:cs="Times New Roman"/>
        </w:rPr>
        <w:t xml:space="preserve">investment opportunities are not necessarily better. </w:t>
      </w:r>
    </w:p>
    <w:p w:rsidR="005E2C6C" w:rsidRPr="00970C35" w:rsidRDefault="00821BD4" w:rsidP="004F4FF3">
      <w:pPr>
        <w:spacing w:after="0" w:line="480" w:lineRule="auto"/>
        <w:ind w:firstLine="288"/>
        <w:jc w:val="both"/>
        <w:rPr>
          <w:rFonts w:ascii="Times New Roman" w:hAnsi="Times New Roman" w:cs="Times New Roman"/>
        </w:rPr>
      </w:pPr>
      <w:r w:rsidRPr="00970C35">
        <w:rPr>
          <w:rFonts w:ascii="Times New Roman" w:hAnsi="Times New Roman" w:cs="Times New Roman"/>
        </w:rPr>
        <w:t>More importantly,</w:t>
      </w:r>
      <w:r w:rsidR="00D4773C" w:rsidRPr="00970C35">
        <w:rPr>
          <w:rFonts w:ascii="Times New Roman" w:hAnsi="Times New Roman" w:cs="Times New Roman"/>
        </w:rPr>
        <w:t xml:space="preserve"> taking advantage of cross-country variation in</w:t>
      </w:r>
      <w:r w:rsidR="004C79A0" w:rsidRPr="00970C35">
        <w:rPr>
          <w:rFonts w:ascii="Times New Roman" w:hAnsi="Times New Roman" w:cs="Times New Roman"/>
        </w:rPr>
        <w:t xml:space="preserve"> investor rights and protection</w:t>
      </w:r>
      <w:r w:rsidR="00C462AD" w:rsidRPr="00970C35">
        <w:rPr>
          <w:rFonts w:ascii="Times New Roman" w:hAnsi="Times New Roman" w:cs="Times New Roman"/>
        </w:rPr>
        <w:t>,</w:t>
      </w:r>
      <w:r w:rsidR="004C79A0" w:rsidRPr="00970C35">
        <w:rPr>
          <w:rFonts w:ascii="Times New Roman" w:hAnsi="Times New Roman" w:cs="Times New Roman"/>
        </w:rPr>
        <w:t xml:space="preserve"> and</w:t>
      </w:r>
      <w:r w:rsidR="00D4773C" w:rsidRPr="00970C35">
        <w:rPr>
          <w:rFonts w:ascii="Times New Roman" w:hAnsi="Times New Roman" w:cs="Times New Roman"/>
        </w:rPr>
        <w:t xml:space="preserve"> financial market development,</w:t>
      </w:r>
      <w:r w:rsidRPr="00970C35">
        <w:rPr>
          <w:rFonts w:ascii="Times New Roman" w:hAnsi="Times New Roman" w:cs="Times New Roman"/>
        </w:rPr>
        <w:t xml:space="preserve"> this study sheds further light on the importance of </w:t>
      </w:r>
      <w:r w:rsidR="00B93D70" w:rsidRPr="00970C35">
        <w:rPr>
          <w:rFonts w:ascii="Times New Roman" w:hAnsi="Times New Roman" w:cs="Times New Roman"/>
        </w:rPr>
        <w:t xml:space="preserve">business </w:t>
      </w:r>
      <w:r w:rsidRPr="00970C35">
        <w:rPr>
          <w:rFonts w:ascii="Times New Roman" w:hAnsi="Times New Roman" w:cs="Times New Roman"/>
        </w:rPr>
        <w:t xml:space="preserve">environment in which the </w:t>
      </w:r>
      <w:r w:rsidR="00444FC8" w:rsidRPr="00970C35">
        <w:rPr>
          <w:rFonts w:ascii="Times New Roman" w:hAnsi="Times New Roman" w:cs="Times New Roman"/>
        </w:rPr>
        <w:t>firms operate</w:t>
      </w:r>
      <w:r w:rsidRPr="00970C35">
        <w:rPr>
          <w:rFonts w:ascii="Times New Roman" w:hAnsi="Times New Roman" w:cs="Times New Roman"/>
        </w:rPr>
        <w:t xml:space="preserve">. We show that firms from countries with </w:t>
      </w:r>
      <w:r w:rsidR="00444FC8" w:rsidRPr="00970C35">
        <w:rPr>
          <w:rFonts w:ascii="Times New Roman" w:hAnsi="Times New Roman" w:cs="Times New Roman"/>
        </w:rPr>
        <w:t>better investor protection</w:t>
      </w:r>
      <w:r w:rsidR="004C79A0" w:rsidRPr="00970C35">
        <w:rPr>
          <w:rFonts w:ascii="Times New Roman" w:hAnsi="Times New Roman" w:cs="Times New Roman"/>
        </w:rPr>
        <w:t xml:space="preserve"> and m</w:t>
      </w:r>
      <w:r w:rsidRPr="00970C35">
        <w:rPr>
          <w:rFonts w:ascii="Times New Roman" w:hAnsi="Times New Roman" w:cs="Times New Roman"/>
        </w:rPr>
        <w:t xml:space="preserve">ore developed financial markets tend to show less severe </w:t>
      </w:r>
      <w:r w:rsidR="00444FC8" w:rsidRPr="00970C35">
        <w:rPr>
          <w:rFonts w:ascii="Times New Roman" w:hAnsi="Times New Roman" w:cs="Times New Roman"/>
        </w:rPr>
        <w:t>“</w:t>
      </w:r>
      <w:r w:rsidRPr="00970C35">
        <w:rPr>
          <w:rFonts w:ascii="Times New Roman" w:hAnsi="Times New Roman" w:cs="Times New Roman"/>
        </w:rPr>
        <w:t>fourth quarter effect</w:t>
      </w:r>
      <w:r w:rsidR="00444FC8" w:rsidRPr="00970C35">
        <w:rPr>
          <w:rFonts w:ascii="Times New Roman" w:hAnsi="Times New Roman" w:cs="Times New Roman"/>
        </w:rPr>
        <w:t>”</w:t>
      </w:r>
      <w:r w:rsidRPr="00970C35">
        <w:rPr>
          <w:rFonts w:ascii="Times New Roman" w:hAnsi="Times New Roman" w:cs="Times New Roman"/>
        </w:rPr>
        <w:t xml:space="preserve"> compared with others. Our results indicate that a full understanding of firms’ investment </w:t>
      </w:r>
      <w:r w:rsidR="00444FC8" w:rsidRPr="00970C35">
        <w:rPr>
          <w:rFonts w:ascii="Times New Roman" w:hAnsi="Times New Roman" w:cs="Times New Roman"/>
        </w:rPr>
        <w:t>activity</w:t>
      </w:r>
      <w:r w:rsidRPr="00970C35">
        <w:rPr>
          <w:rFonts w:ascii="Times New Roman" w:hAnsi="Times New Roman" w:cs="Times New Roman"/>
        </w:rPr>
        <w:t xml:space="preserve"> in general</w:t>
      </w:r>
      <w:r w:rsidR="00C462AD" w:rsidRPr="00970C35">
        <w:rPr>
          <w:rFonts w:ascii="Times New Roman" w:hAnsi="Times New Roman" w:cs="Times New Roman"/>
        </w:rPr>
        <w:t>,</w:t>
      </w:r>
      <w:r w:rsidRPr="00970C35">
        <w:rPr>
          <w:rFonts w:ascii="Times New Roman" w:hAnsi="Times New Roman" w:cs="Times New Roman"/>
        </w:rPr>
        <w:t xml:space="preserve"> and of their </w:t>
      </w:r>
      <w:r w:rsidR="00444FC8" w:rsidRPr="00970C35">
        <w:rPr>
          <w:rFonts w:ascii="Times New Roman" w:hAnsi="Times New Roman" w:cs="Times New Roman"/>
        </w:rPr>
        <w:t xml:space="preserve">internal </w:t>
      </w:r>
      <w:r w:rsidRPr="00970C35">
        <w:rPr>
          <w:rFonts w:ascii="Times New Roman" w:hAnsi="Times New Roman" w:cs="Times New Roman"/>
        </w:rPr>
        <w:t>capital budgeting</w:t>
      </w:r>
      <w:r w:rsidR="00444FC8" w:rsidRPr="00970C35">
        <w:rPr>
          <w:rFonts w:ascii="Times New Roman" w:hAnsi="Times New Roman" w:cs="Times New Roman"/>
        </w:rPr>
        <w:t xml:space="preserve"> and allocation</w:t>
      </w:r>
      <w:r w:rsidRPr="00970C35">
        <w:rPr>
          <w:rFonts w:ascii="Times New Roman" w:hAnsi="Times New Roman" w:cs="Times New Roman"/>
        </w:rPr>
        <w:t xml:space="preserve"> in particular</w:t>
      </w:r>
      <w:r w:rsidR="00C462AD" w:rsidRPr="00970C35">
        <w:rPr>
          <w:rFonts w:ascii="Times New Roman" w:hAnsi="Times New Roman" w:cs="Times New Roman"/>
        </w:rPr>
        <w:t>,</w:t>
      </w:r>
      <w:r w:rsidRPr="00970C35">
        <w:rPr>
          <w:rFonts w:ascii="Times New Roman" w:hAnsi="Times New Roman" w:cs="Times New Roman"/>
        </w:rPr>
        <w:t xml:space="preserve"> demands careful analysis of </w:t>
      </w:r>
      <w:r w:rsidR="008576B4" w:rsidRPr="00970C35">
        <w:rPr>
          <w:rFonts w:ascii="Times New Roman" w:hAnsi="Times New Roman" w:cs="Times New Roman"/>
        </w:rPr>
        <w:t xml:space="preserve">not only </w:t>
      </w:r>
      <w:r w:rsidRPr="00970C35">
        <w:rPr>
          <w:rFonts w:ascii="Times New Roman" w:hAnsi="Times New Roman" w:cs="Times New Roman"/>
        </w:rPr>
        <w:t>the firm-</w:t>
      </w:r>
      <w:r w:rsidR="008576B4" w:rsidRPr="00970C35">
        <w:rPr>
          <w:rFonts w:ascii="Times New Roman" w:hAnsi="Times New Roman" w:cs="Times New Roman"/>
        </w:rPr>
        <w:t>level</w:t>
      </w:r>
      <w:r w:rsidRPr="00970C35">
        <w:rPr>
          <w:rFonts w:ascii="Times New Roman" w:hAnsi="Times New Roman" w:cs="Times New Roman"/>
        </w:rPr>
        <w:t xml:space="preserve"> factors studied in the </w:t>
      </w:r>
      <w:r w:rsidR="00CA5D3C" w:rsidRPr="00970C35">
        <w:rPr>
          <w:rFonts w:ascii="Times New Roman" w:hAnsi="Times New Roman" w:cs="Times New Roman"/>
        </w:rPr>
        <w:t>existing</w:t>
      </w:r>
      <w:r w:rsidRPr="00970C35">
        <w:rPr>
          <w:rFonts w:ascii="Times New Roman" w:hAnsi="Times New Roman" w:cs="Times New Roman"/>
        </w:rPr>
        <w:t xml:space="preserve"> literature</w:t>
      </w:r>
      <w:r w:rsidR="008576B4" w:rsidRPr="00970C35">
        <w:rPr>
          <w:rFonts w:ascii="Times New Roman" w:hAnsi="Times New Roman" w:cs="Times New Roman"/>
        </w:rPr>
        <w:t xml:space="preserve"> but also</w:t>
      </w:r>
      <w:r w:rsidRPr="00970C35">
        <w:rPr>
          <w:rFonts w:ascii="Times New Roman" w:hAnsi="Times New Roman" w:cs="Times New Roman"/>
        </w:rPr>
        <w:t xml:space="preserve"> of the economy-wide institutions.</w:t>
      </w:r>
      <w:r w:rsidR="00444FC8" w:rsidRPr="00970C35">
        <w:rPr>
          <w:rFonts w:ascii="Times New Roman" w:hAnsi="Times New Roman" w:cs="Times New Roman"/>
        </w:rPr>
        <w:t xml:space="preserve"> Earlier </w:t>
      </w:r>
      <w:r w:rsidR="00CA5D3C" w:rsidRPr="00970C35">
        <w:rPr>
          <w:rFonts w:ascii="Times New Roman" w:hAnsi="Times New Roman" w:cs="Times New Roman"/>
        </w:rPr>
        <w:t>international</w:t>
      </w:r>
      <w:r w:rsidR="00444FC8" w:rsidRPr="00970C35">
        <w:rPr>
          <w:rFonts w:ascii="Times New Roman" w:hAnsi="Times New Roman" w:cs="Times New Roman"/>
        </w:rPr>
        <w:t xml:space="preserve"> studies identify several</w:t>
      </w:r>
      <w:r w:rsidR="00CA5D3C" w:rsidRPr="00970C35">
        <w:rPr>
          <w:rFonts w:ascii="Times New Roman" w:hAnsi="Times New Roman" w:cs="Times New Roman"/>
        </w:rPr>
        <w:t xml:space="preserve"> country characteristics</w:t>
      </w:r>
      <w:r w:rsidR="00444FC8" w:rsidRPr="00970C35">
        <w:rPr>
          <w:rFonts w:ascii="Times New Roman" w:hAnsi="Times New Roman" w:cs="Times New Roman"/>
        </w:rPr>
        <w:t xml:space="preserve"> </w:t>
      </w:r>
      <w:r w:rsidR="00CA5D3C" w:rsidRPr="00970C35">
        <w:rPr>
          <w:rFonts w:ascii="Times New Roman" w:hAnsi="Times New Roman" w:cs="Times New Roman"/>
        </w:rPr>
        <w:t>that promote efficiency</w:t>
      </w:r>
      <w:r w:rsidR="00444FC8" w:rsidRPr="00970C35">
        <w:rPr>
          <w:rFonts w:ascii="Times New Roman" w:hAnsi="Times New Roman" w:cs="Times New Roman"/>
        </w:rPr>
        <w:t xml:space="preserve"> in</w:t>
      </w:r>
      <w:r w:rsidR="00CA5D3C" w:rsidRPr="00970C35">
        <w:rPr>
          <w:rFonts w:ascii="Times New Roman" w:hAnsi="Times New Roman" w:cs="Times New Roman"/>
        </w:rPr>
        <w:t xml:space="preserve"> corporate</w:t>
      </w:r>
      <w:r w:rsidR="00444FC8" w:rsidRPr="00970C35">
        <w:rPr>
          <w:rFonts w:ascii="Times New Roman" w:hAnsi="Times New Roman" w:cs="Times New Roman"/>
        </w:rPr>
        <w:t xml:space="preserve"> investing and financing. By examining the “fourth quarter effect”, we identify a specific channel through which these country characteristics can enhance firms’ investment efficiency.</w:t>
      </w:r>
      <w:r w:rsidR="008576B4" w:rsidRPr="00970C35">
        <w:rPr>
          <w:rFonts w:ascii="Times New Roman" w:hAnsi="Times New Roman" w:cs="Times New Roman"/>
        </w:rPr>
        <w:t xml:space="preserve"> Finally, of course, since investor rights and protection and financial market</w:t>
      </w:r>
      <w:r w:rsidR="00C462AD" w:rsidRPr="00970C35">
        <w:rPr>
          <w:rFonts w:ascii="Times New Roman" w:hAnsi="Times New Roman" w:cs="Times New Roman"/>
        </w:rPr>
        <w:t>s</w:t>
      </w:r>
      <w:r w:rsidR="008576B4" w:rsidRPr="00970C35">
        <w:rPr>
          <w:rFonts w:ascii="Times New Roman" w:hAnsi="Times New Roman" w:cs="Times New Roman"/>
        </w:rPr>
        <w:t xml:space="preserve"> serve as </w:t>
      </w:r>
      <w:r w:rsidR="00C462AD" w:rsidRPr="00970C35">
        <w:rPr>
          <w:rFonts w:ascii="Times New Roman" w:hAnsi="Times New Roman" w:cs="Times New Roman"/>
        </w:rPr>
        <w:t xml:space="preserve">an </w:t>
      </w:r>
      <w:r w:rsidR="008576B4" w:rsidRPr="00970C35">
        <w:rPr>
          <w:rFonts w:ascii="Times New Roman" w:hAnsi="Times New Roman" w:cs="Times New Roman"/>
        </w:rPr>
        <w:t xml:space="preserve">important external “force” to keep firms’ managers in check and allocate resources </w:t>
      </w:r>
      <w:r w:rsidR="008576B4" w:rsidRPr="00970C35">
        <w:rPr>
          <w:rFonts w:ascii="Times New Roman" w:hAnsi="Times New Roman" w:cs="Times New Roman"/>
        </w:rPr>
        <w:lastRenderedPageBreak/>
        <w:t xml:space="preserve">more efficiently, countries should continue to improve their </w:t>
      </w:r>
      <w:r w:rsidR="00660C9E" w:rsidRPr="00970C35">
        <w:rPr>
          <w:rFonts w:ascii="Times New Roman" w:hAnsi="Times New Roman" w:cs="Times New Roman"/>
        </w:rPr>
        <w:t>legal system</w:t>
      </w:r>
      <w:r w:rsidR="008576B4" w:rsidRPr="00970C35">
        <w:rPr>
          <w:rFonts w:ascii="Times New Roman" w:hAnsi="Times New Roman" w:cs="Times New Roman"/>
        </w:rPr>
        <w:t xml:space="preserve"> and institutions to promote sufficient power for minority investors</w:t>
      </w:r>
      <w:r w:rsidR="00C462AD" w:rsidRPr="00970C35">
        <w:rPr>
          <w:rFonts w:ascii="Times New Roman" w:hAnsi="Times New Roman" w:cs="Times New Roman"/>
        </w:rPr>
        <w:t>,</w:t>
      </w:r>
      <w:r w:rsidR="008576B4" w:rsidRPr="00970C35">
        <w:rPr>
          <w:rFonts w:ascii="Times New Roman" w:hAnsi="Times New Roman" w:cs="Times New Roman"/>
        </w:rPr>
        <w:t xml:space="preserve"> and enhance financial market development.</w:t>
      </w:r>
    </w:p>
    <w:p w:rsidR="000E266E" w:rsidRPr="00970C35" w:rsidRDefault="000E266E" w:rsidP="004F4FF3">
      <w:pPr>
        <w:spacing w:after="0" w:line="480" w:lineRule="auto"/>
        <w:ind w:firstLine="288"/>
        <w:jc w:val="both"/>
        <w:rPr>
          <w:rFonts w:ascii="Times New Roman" w:hAnsi="Times New Roman" w:cs="Times New Roman"/>
        </w:rPr>
      </w:pPr>
    </w:p>
    <w:p w:rsidR="000E266E" w:rsidRPr="00970C35" w:rsidRDefault="000E266E" w:rsidP="004F4FF3">
      <w:pPr>
        <w:spacing w:after="0" w:line="480" w:lineRule="auto"/>
        <w:ind w:firstLine="288"/>
        <w:jc w:val="both"/>
        <w:rPr>
          <w:rFonts w:ascii="Times New Roman" w:hAnsi="Times New Roman" w:cs="Times New Roman"/>
        </w:rPr>
      </w:pPr>
    </w:p>
    <w:p w:rsidR="005E2C6C" w:rsidRPr="00970C35" w:rsidRDefault="005E2C6C" w:rsidP="005E2C6C">
      <w:pPr>
        <w:widowControl w:val="0"/>
        <w:autoSpaceDE w:val="0"/>
        <w:autoSpaceDN w:val="0"/>
        <w:adjustRightInd w:val="0"/>
        <w:spacing w:after="120" w:line="240" w:lineRule="auto"/>
        <w:rPr>
          <w:rFonts w:ascii="Times New Roman" w:hAnsi="Times New Roman" w:cs="Times New Roman"/>
          <w:b/>
          <w:sz w:val="24"/>
          <w:szCs w:val="24"/>
        </w:rPr>
      </w:pPr>
      <w:r w:rsidRPr="00970C35">
        <w:rPr>
          <w:rFonts w:ascii="Times New Roman" w:hAnsi="Times New Roman" w:cs="Times New Roman"/>
          <w:b/>
          <w:sz w:val="24"/>
          <w:szCs w:val="24"/>
        </w:rPr>
        <w:t>Acknowledgements</w:t>
      </w:r>
    </w:p>
    <w:p w:rsidR="005E2C6C" w:rsidRPr="00970C35" w:rsidRDefault="005E2C6C" w:rsidP="005E2C6C">
      <w:pPr>
        <w:autoSpaceDE w:val="0"/>
        <w:autoSpaceDN w:val="0"/>
        <w:adjustRightInd w:val="0"/>
        <w:spacing w:after="120" w:line="480" w:lineRule="auto"/>
        <w:jc w:val="both"/>
        <w:rPr>
          <w:rFonts w:ascii="Times New Roman" w:hAnsi="Times New Roman" w:cs="Times New Roman"/>
        </w:rPr>
      </w:pPr>
      <w:r w:rsidRPr="00970C35">
        <w:rPr>
          <w:rFonts w:ascii="Times New Roman" w:hAnsi="Times New Roman" w:cs="Times New Roman"/>
        </w:rPr>
        <w:t xml:space="preserve">We thank Matteo Arena, Qing Bai, Shaun Bond, Sapnoti Eswar, Michael Ferguson, Mark Gruskin, Haim Kassa, Kihun Kim, Scott Miller, Jing Wang, and seminar participants at </w:t>
      </w:r>
      <w:r w:rsidR="00C462AD" w:rsidRPr="00970C35">
        <w:rPr>
          <w:rFonts w:ascii="Times New Roman" w:hAnsi="Times New Roman" w:cs="Times New Roman"/>
        </w:rPr>
        <w:t xml:space="preserve">the </w:t>
      </w:r>
      <w:r w:rsidRPr="00970C35">
        <w:rPr>
          <w:rFonts w:ascii="Times New Roman" w:hAnsi="Times New Roman" w:cs="Times New Roman"/>
        </w:rPr>
        <w:t>University of Cincinnati, Special thanks to Alexander Borisov and Tong Yu for many invaluable suggestions and comments. We thank Rafael La Porta for making investor rights data available on his website, and Todd A. Gormley for making Stata code available on his website to implement similar regression analysis used in Gormley and Matsa (2014). Any errors are our own.</w:t>
      </w:r>
    </w:p>
    <w:p w:rsidR="005E2C6C" w:rsidRPr="000E266E" w:rsidRDefault="005E2C6C" w:rsidP="005E2C6C">
      <w:pPr>
        <w:autoSpaceDE w:val="0"/>
        <w:autoSpaceDN w:val="0"/>
        <w:adjustRightInd w:val="0"/>
        <w:spacing w:after="120" w:line="480" w:lineRule="auto"/>
        <w:jc w:val="both"/>
        <w:rPr>
          <w:rFonts w:ascii="Times New Roman" w:hAnsi="Times New Roman" w:cs="Times New Roman"/>
          <w:b/>
        </w:rPr>
      </w:pPr>
      <w:r w:rsidRPr="00970C35">
        <w:rPr>
          <w:rFonts w:ascii="Times New Roman" w:hAnsi="Times New Roman" w:cs="Times New Roman"/>
        </w:rPr>
        <w:t>This research did not receive any specific grant from funding agencies in the public, commercial, or not-for-profit sectors.</w:t>
      </w:r>
      <w:r w:rsidRPr="000E266E">
        <w:rPr>
          <w:rFonts w:ascii="Times New Roman" w:hAnsi="Times New Roman" w:cs="Times New Roman"/>
          <w:b/>
        </w:rPr>
        <w:br w:type="page"/>
      </w:r>
    </w:p>
    <w:p w:rsidR="005E2C6C" w:rsidRPr="00667DCA" w:rsidRDefault="005E2C6C" w:rsidP="005E2C6C">
      <w:pPr>
        <w:autoSpaceDE w:val="0"/>
        <w:autoSpaceDN w:val="0"/>
        <w:adjustRightInd w:val="0"/>
        <w:spacing w:after="0" w:line="480" w:lineRule="auto"/>
        <w:jc w:val="both"/>
        <w:rPr>
          <w:rFonts w:ascii="Times New Roman" w:hAnsi="Times New Roman" w:cs="Times New Roman"/>
          <w:b/>
          <w:sz w:val="24"/>
          <w:szCs w:val="24"/>
        </w:rPr>
      </w:pPr>
      <w:r w:rsidRPr="00667DCA">
        <w:rPr>
          <w:rFonts w:ascii="Times New Roman" w:hAnsi="Times New Roman" w:cs="Times New Roman"/>
          <w:b/>
          <w:sz w:val="24"/>
          <w:szCs w:val="24"/>
        </w:rPr>
        <w:lastRenderedPageBreak/>
        <w:t xml:space="preserve">Appendix A: Definitions of the </w:t>
      </w:r>
      <w:r w:rsidR="0064116B">
        <w:rPr>
          <w:rFonts w:ascii="Times New Roman" w:hAnsi="Times New Roman" w:cs="Times New Roman"/>
          <w:b/>
          <w:sz w:val="24"/>
          <w:szCs w:val="24"/>
        </w:rPr>
        <w:t>C</w:t>
      </w:r>
      <w:r>
        <w:rPr>
          <w:rFonts w:ascii="Times New Roman" w:hAnsi="Times New Roman" w:cs="Times New Roman"/>
          <w:b/>
          <w:sz w:val="24"/>
          <w:szCs w:val="24"/>
        </w:rPr>
        <w:t xml:space="preserve">ountry-level </w:t>
      </w:r>
      <w:r w:rsidR="0064116B">
        <w:rPr>
          <w:rFonts w:ascii="Times New Roman" w:hAnsi="Times New Roman" w:cs="Times New Roman"/>
          <w:b/>
          <w:sz w:val="24"/>
          <w:szCs w:val="24"/>
        </w:rPr>
        <w:t>V</w:t>
      </w:r>
      <w:r w:rsidRPr="00667DCA">
        <w:rPr>
          <w:rFonts w:ascii="Times New Roman" w:hAnsi="Times New Roman" w:cs="Times New Roman"/>
          <w:b/>
          <w:sz w:val="24"/>
          <w:szCs w:val="24"/>
        </w:rPr>
        <w:t>ariables</w:t>
      </w:r>
    </w:p>
    <w:tbl>
      <w:tblPr>
        <w:tblStyle w:val="a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8208"/>
      </w:tblGrid>
      <w:tr w:rsidR="005E2C6C" w:rsidRPr="00667DCA" w:rsidTr="00AF727A">
        <w:tc>
          <w:tcPr>
            <w:tcW w:w="1368" w:type="dxa"/>
          </w:tcPr>
          <w:p w:rsidR="005E2C6C" w:rsidRPr="00667DCA" w:rsidRDefault="005E2C6C" w:rsidP="00AF727A">
            <w:pPr>
              <w:spacing w:after="120"/>
              <w:rPr>
                <w:rFonts w:ascii="Times New Roman" w:hAnsi="Times New Roman" w:cs="Times New Roman"/>
                <w:b/>
                <w:szCs w:val="24"/>
              </w:rPr>
            </w:pPr>
            <w:r w:rsidRPr="00667DCA">
              <w:rPr>
                <w:rFonts w:ascii="Times New Roman" w:hAnsi="Times New Roman" w:cs="Times New Roman"/>
                <w:b/>
                <w:szCs w:val="24"/>
              </w:rPr>
              <w:t>AD</w:t>
            </w:r>
          </w:p>
        </w:tc>
        <w:tc>
          <w:tcPr>
            <w:tcW w:w="8208" w:type="dxa"/>
          </w:tcPr>
          <w:p w:rsidR="005E2C6C" w:rsidRPr="00667DCA" w:rsidRDefault="00C462AD" w:rsidP="00C462AD">
            <w:pPr>
              <w:spacing w:after="120"/>
              <w:rPr>
                <w:rFonts w:ascii="Times New Roman" w:hAnsi="Times New Roman" w:cs="Times New Roman"/>
                <w:sz w:val="18"/>
                <w:szCs w:val="20"/>
              </w:rPr>
            </w:pPr>
            <w:r>
              <w:rPr>
                <w:rFonts w:ascii="Times New Roman" w:hAnsi="Times New Roman" w:cs="Times New Roman"/>
                <w:sz w:val="18"/>
                <w:szCs w:val="20"/>
              </w:rPr>
              <w:t>A</w:t>
            </w:r>
            <w:r w:rsidR="005E2C6C" w:rsidRPr="00667DCA">
              <w:rPr>
                <w:rFonts w:ascii="Times New Roman" w:hAnsi="Times New Roman" w:cs="Times New Roman"/>
                <w:sz w:val="18"/>
                <w:szCs w:val="20"/>
              </w:rPr>
              <w:t xml:space="preserve">nti-director rights index is the sum of six components: (1) the country allows shareholders to mail their proxy vote to the firm, (2) shareholders are not required to deposit their shares prior to the general shareholders’ meeting, (3) cumulative voting or proportional representation of minorities in the board of directors is allowed, (4) an oppressed minorities mechanism is in place, (5) the minimum percentage of share capital that entitles a shareholder to call for an extraordinary shareholders’ meeting is less than or equal to 10 percent (the sample median), or (6) shareholders have preemptive rights that can be waived only by a shareholders’ vote. The index is obtained from </w:t>
            </w:r>
            <w:r w:rsidR="005E2C6C" w:rsidRPr="00667DCA">
              <w:rPr>
                <w:rFonts w:ascii="Times New Roman" w:hAnsi="Times New Roman" w:cs="Times New Roman"/>
                <w:sz w:val="18"/>
                <w:szCs w:val="20"/>
              </w:rPr>
              <w:fldChar w:fldCharType="begin" w:fldLock="1"/>
            </w:r>
            <w:r w:rsidR="00E57761">
              <w:rPr>
                <w:rFonts w:ascii="Times New Roman" w:hAnsi="Times New Roman" w:cs="Times New Roman"/>
                <w:sz w:val="18"/>
                <w:szCs w:val="20"/>
              </w:rPr>
              <w:instrText>ADDIN CSL_CITATION { "citationItems" : [ { "id" : "ITEM-1", "itemData" : { "DOI" : "10.1086/250042", "ISSN" : "00223808", "abstract" : "This paper examines legal rules covering protection of corporate shareholders and creditors, the origin of these rules, and the qual- ity of their enforcement in 49 countries. The results show that common-law countries generally have the strongest, and French- civil-law countries the weakest, legal protections of investors, with German- and Scandinavian-civil-law countries located in the mid- dle. We also find that concentration of ownership of shares in the largest public companies is negatively related to investor protec- tions, consistent with the hypothesis that small, diversified share- holders are unlikely to be important in countries that fail to protect their rights.", "author" : [ { "dropping-particle" : "", "family" : "Porta", "given" : "Rafael", "non-dropping-particle" : "La", "parse-names" : false, "suffix" : "" }, { "dropping-particle" : "", "family" : "Lopez-de-SIlanes", "given" : "Florencio", "non-dropping-particle" : "", "parse-names" : false, "suffix" : "" }, { "dropping-particle" : "", "family" : "Shleifer", "given" : "Andrei", "non-dropping-particle" : "", "parse-names" : false, "suffix" : "" }, { "dropping-particle" : "", "family" : "Vishny", "given" : "Robert W", "non-dropping-particle" : "", "parse-names" : false, "suffix" : "" } ], "container-title" : "Journal of Political Economy", "id" : "ITEM-1", "issue" : "6", "issued" : { "date-parts" : [ [ "1998" ] ] }, "page" : "11131-55", "title" : "Law and Finance Rafael La Porta , Florencio Lopez-de-Silanes ,", "type" : "article-journal", "volume" : "106" }, "uris" : [ "http://www.mendeley.com/documents/?uuid=4aa5ecb9-0b68-4d9b-a6f4-175131ed927e" ] } ], "mendeley" : { "formattedCitation" : "La Porta et al. (1998)", "manualFormatting" : "LLSV (1998)", "plainTextFormattedCitation" : "La Porta et al. (1998)", "previouslyFormattedCitation" : "La Porta et al. (1998)" }, "properties" : { "noteIndex" : 0 }, "schema" : "https://github.com/citation-style-language/schema/raw/master/csl-citation.json" }</w:instrText>
            </w:r>
            <w:r w:rsidR="005E2C6C" w:rsidRPr="00667DCA">
              <w:rPr>
                <w:rFonts w:ascii="Times New Roman" w:hAnsi="Times New Roman" w:cs="Times New Roman"/>
                <w:sz w:val="18"/>
                <w:szCs w:val="20"/>
              </w:rPr>
              <w:fldChar w:fldCharType="separate"/>
            </w:r>
            <w:r w:rsidR="005E2C6C" w:rsidRPr="00667DCA">
              <w:rPr>
                <w:rFonts w:ascii="Times New Roman" w:hAnsi="Times New Roman" w:cs="Times New Roman"/>
                <w:noProof/>
                <w:sz w:val="18"/>
                <w:szCs w:val="20"/>
              </w:rPr>
              <w:t>LLSV (1998)</w:t>
            </w:r>
            <w:r w:rsidR="005E2C6C" w:rsidRPr="00667DCA">
              <w:rPr>
                <w:rFonts w:ascii="Times New Roman" w:hAnsi="Times New Roman" w:cs="Times New Roman"/>
                <w:sz w:val="18"/>
                <w:szCs w:val="20"/>
              </w:rPr>
              <w:fldChar w:fldCharType="end"/>
            </w:r>
            <w:r w:rsidR="005E2C6C" w:rsidRPr="00667DCA">
              <w:rPr>
                <w:rFonts w:ascii="Times New Roman" w:hAnsi="Times New Roman" w:cs="Times New Roman"/>
                <w:sz w:val="18"/>
                <w:szCs w:val="20"/>
              </w:rPr>
              <w:t xml:space="preserve"> and ranges from 0 to 6.</w:t>
            </w:r>
          </w:p>
        </w:tc>
      </w:tr>
      <w:tr w:rsidR="005E2C6C" w:rsidRPr="00667DCA" w:rsidTr="00AF727A">
        <w:tc>
          <w:tcPr>
            <w:tcW w:w="1368" w:type="dxa"/>
          </w:tcPr>
          <w:p w:rsidR="005E2C6C" w:rsidRPr="00667DCA" w:rsidRDefault="005E2C6C" w:rsidP="00AF727A">
            <w:pPr>
              <w:spacing w:after="120"/>
              <w:rPr>
                <w:rFonts w:ascii="Times New Roman" w:hAnsi="Times New Roman" w:cs="Times New Roman"/>
                <w:b/>
                <w:szCs w:val="24"/>
              </w:rPr>
            </w:pPr>
            <w:r w:rsidRPr="00667DCA">
              <w:rPr>
                <w:rFonts w:ascii="Times New Roman" w:hAnsi="Times New Roman" w:cs="Times New Roman"/>
                <w:b/>
                <w:szCs w:val="24"/>
              </w:rPr>
              <w:t>AS</w:t>
            </w:r>
          </w:p>
        </w:tc>
        <w:tc>
          <w:tcPr>
            <w:tcW w:w="8208" w:type="dxa"/>
          </w:tcPr>
          <w:p w:rsidR="005E2C6C" w:rsidRPr="00667DCA" w:rsidRDefault="005E2C6C" w:rsidP="00AF727A">
            <w:pPr>
              <w:spacing w:after="120"/>
              <w:rPr>
                <w:rFonts w:ascii="Times New Roman" w:hAnsi="Times New Roman" w:cs="Times New Roman"/>
                <w:sz w:val="18"/>
                <w:szCs w:val="20"/>
              </w:rPr>
            </w:pPr>
            <w:r w:rsidRPr="00667DCA">
              <w:rPr>
                <w:rFonts w:ascii="Times New Roman" w:hAnsi="Times New Roman" w:cs="Times New Roman"/>
                <w:sz w:val="18"/>
                <w:szCs w:val="20"/>
              </w:rPr>
              <w:t xml:space="preserve">Anti-self-dealing index. This is a survey-based measure of restrictions on controlling shareholders’ self-dealing, from </w:t>
            </w:r>
            <w:r w:rsidRPr="00667DCA">
              <w:rPr>
                <w:rFonts w:ascii="Times New Roman" w:hAnsi="Times New Roman" w:cs="Times New Roman"/>
                <w:sz w:val="18"/>
                <w:szCs w:val="20"/>
              </w:rPr>
              <w:fldChar w:fldCharType="begin" w:fldLock="1"/>
            </w:r>
            <w:r w:rsidR="00E57761">
              <w:rPr>
                <w:rFonts w:ascii="Times New Roman" w:hAnsi="Times New Roman" w:cs="Times New Roman"/>
                <w:sz w:val="18"/>
                <w:szCs w:val="20"/>
              </w:rPr>
              <w:instrText>ADDIN CSL_CITATION { "citationItems" : [ { "id" : "ITEM-1", "itemData" : { "DOI" : "10.1016/j.jfineco.2007.02.007", "ISBN" : "0304-405X", "ISSN" : "0304405X", "PMID" : "1312", "abstract" : "We present a new measure of legal protection of minority shareholders against expropriation by corporate insiders: the anti-self-dealing index. Assembled with the help of Lex Mundi law firms, the index is calculated for 72 countries based on legal rules prevailing in 2003, and focuses on private enforcement mechanisms, such as disclosure, approval, and litigation, that govern a specific self-dealing transaction. This theoretically grounded index predicts a variety of stock market outcomes, and generally works better than the previously introduced index of anti-director rights. ?? 2008 Elsevier B.V. All rights reserved.", "author" : [ { "dropping-particle" : "", "family" : "Djankov", "given" : "Simeon", "non-dropping-particle" : "", "parse-names" : false, "suffix" : "" }, { "dropping-particle" : "", "family" : "Porta", "given" : "Rafael", "non-dropping-particle" : "La", "parse-names" : false, "suffix" : "" }, { "dropping-particle" : "", "family" : "Lopez-de-Silanes", "given" : "Florencio", "non-dropping-particle" : "", "parse-names" : false, "suffix" : "" }, { "dropping-particle" : "", "family" : "Shleifer", "given" : "Andrei", "non-dropping-particle" : "", "parse-names" : false, "suffix" : "" } ], "container-title" : "Journal of Financial Economics", "id" : "ITEM-1", "issue" : "3", "issued" : { "date-parts" : [ [ "2008" ] ] }, "page" : "430-465", "title" : "The law and economics of self-dealing", "type" : "article-journal", "volume" : "88" }, "uris" : [ "http://www.mendeley.com/documents/?uuid=e8fc3504-1fcf-476f-969d-c0cef77ba0eb" ] } ], "mendeley" : { "formattedCitation" : "Djankov et al. (2008)", "plainTextFormattedCitation" : "Djankov et al. (2008)", "previouslyFormattedCitation" : "Djankov et al. (2008)" }, "properties" : { "noteIndex" : 0 }, "schema" : "https://github.com/citation-style-language/schema/raw/master/csl-citation.json" }</w:instrText>
            </w:r>
            <w:r w:rsidRPr="00667DCA">
              <w:rPr>
                <w:rFonts w:ascii="Times New Roman" w:hAnsi="Times New Roman" w:cs="Times New Roman"/>
                <w:sz w:val="18"/>
                <w:szCs w:val="20"/>
              </w:rPr>
              <w:fldChar w:fldCharType="separate"/>
            </w:r>
            <w:r w:rsidR="00C462AD" w:rsidRPr="00C462AD">
              <w:rPr>
                <w:rFonts w:ascii="Times New Roman" w:hAnsi="Times New Roman" w:cs="Times New Roman"/>
                <w:noProof/>
                <w:sz w:val="18"/>
                <w:szCs w:val="20"/>
              </w:rPr>
              <w:t>Djankov et al. (2008)</w:t>
            </w:r>
            <w:r w:rsidRPr="00667DCA">
              <w:rPr>
                <w:rFonts w:ascii="Times New Roman" w:hAnsi="Times New Roman" w:cs="Times New Roman"/>
                <w:sz w:val="18"/>
                <w:szCs w:val="20"/>
              </w:rPr>
              <w:fldChar w:fldCharType="end"/>
            </w:r>
            <w:r w:rsidRPr="00667DCA">
              <w:rPr>
                <w:rFonts w:ascii="Times New Roman" w:hAnsi="Times New Roman" w:cs="Times New Roman"/>
                <w:sz w:val="18"/>
                <w:szCs w:val="20"/>
              </w:rPr>
              <w:t>, and this index ranges from 0 (weak control of self-dealing) to 1 (strong).</w:t>
            </w:r>
          </w:p>
        </w:tc>
      </w:tr>
      <w:tr w:rsidR="005E2C6C" w:rsidRPr="00667DCA" w:rsidTr="00AF727A">
        <w:tc>
          <w:tcPr>
            <w:tcW w:w="1368" w:type="dxa"/>
          </w:tcPr>
          <w:p w:rsidR="005E2C6C" w:rsidRPr="00667DCA" w:rsidRDefault="005E2C6C" w:rsidP="00AF727A">
            <w:pPr>
              <w:spacing w:after="120"/>
              <w:rPr>
                <w:rFonts w:ascii="Times New Roman" w:hAnsi="Times New Roman" w:cs="Times New Roman"/>
                <w:b/>
                <w:szCs w:val="24"/>
              </w:rPr>
            </w:pPr>
            <w:r w:rsidRPr="00667DCA">
              <w:rPr>
                <w:rFonts w:ascii="Times New Roman" w:hAnsi="Times New Roman" w:cs="Times New Roman"/>
                <w:b/>
                <w:szCs w:val="24"/>
              </w:rPr>
              <w:t>DISC</w:t>
            </w:r>
          </w:p>
        </w:tc>
        <w:tc>
          <w:tcPr>
            <w:tcW w:w="8208" w:type="dxa"/>
          </w:tcPr>
          <w:p w:rsidR="005E2C6C" w:rsidRPr="00667DCA" w:rsidRDefault="005E2C6C" w:rsidP="00AF727A">
            <w:pPr>
              <w:spacing w:after="120"/>
              <w:rPr>
                <w:rFonts w:ascii="Times New Roman" w:hAnsi="Times New Roman" w:cs="Times New Roman"/>
                <w:sz w:val="18"/>
                <w:szCs w:val="20"/>
              </w:rPr>
            </w:pPr>
            <w:r w:rsidRPr="00667DCA">
              <w:rPr>
                <w:rFonts w:ascii="Times New Roman" w:hAnsi="Times New Roman" w:cs="Times New Roman"/>
                <w:sz w:val="18"/>
                <w:szCs w:val="20"/>
              </w:rPr>
              <w:t xml:space="preserve">Extent of disclosure index from World Bank’s Doing Business database. </w:t>
            </w:r>
            <w:r>
              <w:rPr>
                <w:rFonts w:ascii="Times New Roman" w:hAnsi="Times New Roman" w:cs="Times New Roman"/>
                <w:sz w:val="18"/>
                <w:szCs w:val="20"/>
              </w:rPr>
              <w:t xml:space="preserve">This </w:t>
            </w:r>
            <w:r w:rsidRPr="00411685">
              <w:rPr>
                <w:rFonts w:ascii="Times New Roman" w:hAnsi="Times New Roman" w:cs="Times New Roman"/>
                <w:sz w:val="18"/>
                <w:szCs w:val="20"/>
              </w:rPr>
              <w:t>index is the average of the extent of disclosure index, the extent of director liability index and the ease of shareholder suits index. The index ranges from 0 to 10, with higher values indicating stronger regulation of conflicts of interest.</w:t>
            </w:r>
          </w:p>
        </w:tc>
      </w:tr>
      <w:tr w:rsidR="005E2C6C" w:rsidRPr="00667DCA" w:rsidTr="00AF727A">
        <w:tc>
          <w:tcPr>
            <w:tcW w:w="1368" w:type="dxa"/>
          </w:tcPr>
          <w:p w:rsidR="005E2C6C" w:rsidRPr="00667DCA" w:rsidRDefault="005E2C6C" w:rsidP="00AF727A">
            <w:pPr>
              <w:spacing w:after="120"/>
              <w:rPr>
                <w:rFonts w:ascii="Times New Roman" w:hAnsi="Times New Roman" w:cs="Times New Roman"/>
                <w:b/>
                <w:szCs w:val="24"/>
              </w:rPr>
            </w:pPr>
            <w:r w:rsidRPr="00667DCA">
              <w:rPr>
                <w:rFonts w:ascii="Times New Roman" w:hAnsi="Times New Roman" w:cs="Times New Roman"/>
                <w:b/>
                <w:szCs w:val="24"/>
              </w:rPr>
              <w:t>ACCT</w:t>
            </w:r>
          </w:p>
        </w:tc>
        <w:tc>
          <w:tcPr>
            <w:tcW w:w="8208" w:type="dxa"/>
          </w:tcPr>
          <w:p w:rsidR="005E2C6C" w:rsidRPr="00667DCA" w:rsidRDefault="005E2C6C" w:rsidP="00AF727A">
            <w:pPr>
              <w:spacing w:after="120"/>
              <w:rPr>
                <w:rFonts w:ascii="Times New Roman" w:hAnsi="Times New Roman" w:cs="Times New Roman"/>
                <w:sz w:val="18"/>
                <w:szCs w:val="20"/>
              </w:rPr>
            </w:pPr>
            <w:r w:rsidRPr="00667DCA">
              <w:rPr>
                <w:rFonts w:ascii="Times New Roman" w:hAnsi="Times New Roman" w:cs="Times New Roman"/>
                <w:sz w:val="18"/>
                <w:szCs w:val="20"/>
              </w:rPr>
              <w:t xml:space="preserve">Accounting standards based on the reporting or omission of 90 items from firms’ annual reports. This index is obtained from </w:t>
            </w:r>
            <w:r w:rsidRPr="00667DCA">
              <w:rPr>
                <w:rFonts w:ascii="Times New Roman" w:hAnsi="Times New Roman" w:cs="Times New Roman"/>
                <w:sz w:val="18"/>
                <w:szCs w:val="20"/>
              </w:rPr>
              <w:fldChar w:fldCharType="begin" w:fldLock="1"/>
            </w:r>
            <w:r w:rsidR="00E57761">
              <w:rPr>
                <w:rFonts w:ascii="Times New Roman" w:hAnsi="Times New Roman" w:cs="Times New Roman"/>
                <w:sz w:val="18"/>
                <w:szCs w:val="20"/>
              </w:rPr>
              <w:instrText>ADDIN CSL_CITATION { "citationItems" : [ { "id" : "ITEM-1", "itemData" : { "DOI" : "10.1086/250042", "ISSN" : "00223808", "abstract" : "This paper examines legal rules covering protection of corporate shareholders and creditors, the origin of these rules, and the qual- ity of their enforcement in 49 countries. The results show that common-law countries generally have the strongest, and French- civil-law countries the weakest, legal protections of investors, with German- and Scandinavian-civil-law countries located in the mid- dle. We also find that concentration of ownership of shares in the largest public companies is negatively related to investor protec- tions, consistent with the hypothesis that small, diversified share- holders are unlikely to be important in countries that fail to protect their rights.", "author" : [ { "dropping-particle" : "", "family" : "Porta", "given" : "Rafael", "non-dropping-particle" : "La", "parse-names" : false, "suffix" : "" }, { "dropping-particle" : "", "family" : "Lopez-de-SIlanes", "given" : "Florencio", "non-dropping-particle" : "", "parse-names" : false, "suffix" : "" }, { "dropping-particle" : "", "family" : "Shleifer", "given" : "Andrei", "non-dropping-particle" : "", "parse-names" : false, "suffix" : "" }, { "dropping-particle" : "", "family" : "Vishny", "given" : "Robert W", "non-dropping-particle" : "", "parse-names" : false, "suffix" : "" } ], "container-title" : "Journal of Political Economy", "id" : "ITEM-1", "issue" : "6", "issued" : { "date-parts" : [ [ "1998" ] ] }, "page" : "11131-55", "title" : "Law and Finance Rafael La Porta , Florencio Lopez-de-Silanes ,", "type" : "article-journal", "volume" : "106" }, "uris" : [ "http://www.mendeley.com/documents/?uuid=4aa5ecb9-0b68-4d9b-a6f4-175131ed927e" ] } ], "mendeley" : { "formattedCitation" : "La Porta et al. (1998)", "manualFormatting" : "LLSV (1998)", "plainTextFormattedCitation" : "La Porta et al. (1998)", "previouslyFormattedCitation" : "La Porta et al. (1998)" }, "properties" : { "noteIndex" : 0 }, "schema" : "https://github.com/citation-style-language/schema/raw/master/csl-citation.json" }</w:instrText>
            </w:r>
            <w:r w:rsidRPr="00667DCA">
              <w:rPr>
                <w:rFonts w:ascii="Times New Roman" w:hAnsi="Times New Roman" w:cs="Times New Roman"/>
                <w:sz w:val="18"/>
                <w:szCs w:val="20"/>
              </w:rPr>
              <w:fldChar w:fldCharType="separate"/>
            </w:r>
            <w:r w:rsidRPr="00667DCA">
              <w:rPr>
                <w:rFonts w:ascii="Times New Roman" w:hAnsi="Times New Roman" w:cs="Times New Roman"/>
                <w:noProof/>
                <w:sz w:val="18"/>
                <w:szCs w:val="20"/>
              </w:rPr>
              <w:t>LLSV (1998)</w:t>
            </w:r>
            <w:r w:rsidRPr="00667DCA">
              <w:rPr>
                <w:rFonts w:ascii="Times New Roman" w:hAnsi="Times New Roman" w:cs="Times New Roman"/>
                <w:sz w:val="18"/>
                <w:szCs w:val="20"/>
              </w:rPr>
              <w:fldChar w:fldCharType="end"/>
            </w:r>
            <w:r w:rsidRPr="00667DCA">
              <w:rPr>
                <w:rFonts w:ascii="Times New Roman" w:hAnsi="Times New Roman" w:cs="Times New Roman"/>
                <w:sz w:val="18"/>
                <w:szCs w:val="20"/>
              </w:rPr>
              <w:t xml:space="preserve">. Higher values of ACCT indicate higher accounting standards. </w:t>
            </w:r>
          </w:p>
        </w:tc>
      </w:tr>
      <w:tr w:rsidR="005E2C6C" w:rsidRPr="00667DCA" w:rsidTr="00AF727A">
        <w:tc>
          <w:tcPr>
            <w:tcW w:w="1368" w:type="dxa"/>
          </w:tcPr>
          <w:p w:rsidR="005E2C6C" w:rsidRPr="00667DCA" w:rsidRDefault="005E2C6C" w:rsidP="00AF727A">
            <w:pPr>
              <w:spacing w:after="120"/>
              <w:rPr>
                <w:rFonts w:ascii="Times New Roman" w:hAnsi="Times New Roman" w:cs="Times New Roman"/>
                <w:b/>
                <w:szCs w:val="24"/>
              </w:rPr>
            </w:pPr>
            <w:r w:rsidRPr="00667DCA">
              <w:rPr>
                <w:rFonts w:ascii="Times New Roman" w:hAnsi="Times New Roman" w:cs="Times New Roman"/>
                <w:b/>
                <w:szCs w:val="24"/>
              </w:rPr>
              <w:t>EM</w:t>
            </w:r>
          </w:p>
        </w:tc>
        <w:tc>
          <w:tcPr>
            <w:tcW w:w="8208" w:type="dxa"/>
          </w:tcPr>
          <w:p w:rsidR="005E2C6C" w:rsidRPr="00667DCA" w:rsidRDefault="005E2C6C" w:rsidP="00AF727A">
            <w:pPr>
              <w:spacing w:after="120"/>
              <w:rPr>
                <w:rFonts w:ascii="Times New Roman" w:hAnsi="Times New Roman" w:cs="Times New Roman"/>
                <w:sz w:val="18"/>
                <w:szCs w:val="20"/>
              </w:rPr>
            </w:pPr>
            <w:r w:rsidRPr="00667DCA">
              <w:rPr>
                <w:rFonts w:ascii="Times New Roman" w:hAnsi="Times New Roman" w:cs="Times New Roman"/>
                <w:sz w:val="18"/>
                <w:szCs w:val="20"/>
              </w:rPr>
              <w:t>The aggregate earnings management index from Leuz, Nanda, and Wysocki (2003). Higher EM is associated with higher earnings management and thus lower earnings quality.</w:t>
            </w:r>
          </w:p>
        </w:tc>
      </w:tr>
      <w:tr w:rsidR="005E2C6C" w:rsidRPr="00667DCA" w:rsidTr="00AF727A">
        <w:tc>
          <w:tcPr>
            <w:tcW w:w="1368" w:type="dxa"/>
          </w:tcPr>
          <w:p w:rsidR="005E2C6C" w:rsidRPr="00667DCA" w:rsidRDefault="005E2C6C" w:rsidP="00AF727A">
            <w:pPr>
              <w:spacing w:after="120"/>
              <w:rPr>
                <w:rFonts w:ascii="Times New Roman" w:hAnsi="Times New Roman" w:cs="Times New Roman"/>
                <w:b/>
                <w:szCs w:val="24"/>
              </w:rPr>
            </w:pPr>
            <w:r w:rsidRPr="00667DCA">
              <w:rPr>
                <w:rFonts w:ascii="Times New Roman" w:hAnsi="Times New Roman" w:cs="Times New Roman"/>
                <w:b/>
                <w:szCs w:val="24"/>
              </w:rPr>
              <w:t>EQUITY</w:t>
            </w:r>
          </w:p>
        </w:tc>
        <w:tc>
          <w:tcPr>
            <w:tcW w:w="8208" w:type="dxa"/>
          </w:tcPr>
          <w:p w:rsidR="005E2C6C" w:rsidRPr="00667DCA" w:rsidRDefault="005E2C6C" w:rsidP="00AF727A">
            <w:pPr>
              <w:spacing w:after="120"/>
              <w:rPr>
                <w:rFonts w:ascii="Times New Roman" w:hAnsi="Times New Roman" w:cs="Times New Roman"/>
                <w:sz w:val="18"/>
                <w:szCs w:val="20"/>
              </w:rPr>
            </w:pPr>
            <w:r w:rsidRPr="00667DCA">
              <w:rPr>
                <w:rFonts w:ascii="Times New Roman" w:hAnsi="Times New Roman" w:cs="Times New Roman"/>
                <w:sz w:val="18"/>
                <w:szCs w:val="20"/>
              </w:rPr>
              <w:t>Equity market development, defined as a country’s stock market capitalization divided by its GDP. This item is from the World Bank’s World Development Indicators database.</w:t>
            </w:r>
          </w:p>
        </w:tc>
      </w:tr>
      <w:tr w:rsidR="005E2C6C" w:rsidRPr="00667DCA" w:rsidTr="00AF727A">
        <w:tc>
          <w:tcPr>
            <w:tcW w:w="1368" w:type="dxa"/>
          </w:tcPr>
          <w:p w:rsidR="005E2C6C" w:rsidRPr="00667DCA" w:rsidRDefault="005E2C6C" w:rsidP="00AF727A">
            <w:pPr>
              <w:spacing w:after="120"/>
              <w:rPr>
                <w:rFonts w:ascii="Times New Roman" w:hAnsi="Times New Roman" w:cs="Times New Roman"/>
                <w:b/>
                <w:szCs w:val="24"/>
              </w:rPr>
            </w:pPr>
            <w:r w:rsidRPr="00667DCA">
              <w:rPr>
                <w:rFonts w:ascii="Times New Roman" w:hAnsi="Times New Roman" w:cs="Times New Roman"/>
                <w:b/>
                <w:szCs w:val="24"/>
              </w:rPr>
              <w:t>CREDIT</w:t>
            </w:r>
          </w:p>
        </w:tc>
        <w:tc>
          <w:tcPr>
            <w:tcW w:w="8208" w:type="dxa"/>
          </w:tcPr>
          <w:p w:rsidR="005E2C6C" w:rsidRPr="00667DCA" w:rsidRDefault="005E2C6C" w:rsidP="00C462AD">
            <w:pPr>
              <w:spacing w:after="120"/>
              <w:rPr>
                <w:rFonts w:ascii="Times New Roman" w:hAnsi="Times New Roman" w:cs="Times New Roman"/>
                <w:sz w:val="18"/>
                <w:szCs w:val="20"/>
              </w:rPr>
            </w:pPr>
            <w:r w:rsidRPr="00667DCA">
              <w:rPr>
                <w:rFonts w:ascii="Times New Roman" w:hAnsi="Times New Roman" w:cs="Times New Roman"/>
                <w:sz w:val="18"/>
                <w:szCs w:val="20"/>
              </w:rPr>
              <w:t>Credit market development</w:t>
            </w:r>
            <w:r w:rsidR="00C462AD">
              <w:rPr>
                <w:rFonts w:ascii="Times New Roman" w:hAnsi="Times New Roman" w:cs="Times New Roman"/>
                <w:sz w:val="18"/>
                <w:szCs w:val="20"/>
              </w:rPr>
              <w:t xml:space="preserve"> is</w:t>
            </w:r>
            <w:r w:rsidRPr="00667DCA">
              <w:rPr>
                <w:rFonts w:ascii="Times New Roman" w:hAnsi="Times New Roman" w:cs="Times New Roman"/>
                <w:sz w:val="18"/>
                <w:szCs w:val="20"/>
              </w:rPr>
              <w:t xml:space="preserve"> defined as a country’s ratio of domestic credit to private sector over GDP. This item is from the World Bank’s World Development Indicators database.</w:t>
            </w:r>
          </w:p>
        </w:tc>
      </w:tr>
      <w:tr w:rsidR="005E2C6C" w:rsidRPr="00667DCA" w:rsidTr="00AF727A">
        <w:tc>
          <w:tcPr>
            <w:tcW w:w="1368" w:type="dxa"/>
          </w:tcPr>
          <w:p w:rsidR="005E2C6C" w:rsidRPr="00667DCA" w:rsidRDefault="005E2C6C" w:rsidP="00AF727A">
            <w:pPr>
              <w:spacing w:after="120"/>
              <w:rPr>
                <w:rFonts w:ascii="Times New Roman" w:hAnsi="Times New Roman" w:cs="Times New Roman"/>
                <w:b/>
                <w:szCs w:val="24"/>
              </w:rPr>
            </w:pPr>
            <w:r w:rsidRPr="00667DCA">
              <w:rPr>
                <w:rFonts w:ascii="Times New Roman" w:hAnsi="Times New Roman" w:cs="Times New Roman"/>
                <w:b/>
                <w:szCs w:val="24"/>
              </w:rPr>
              <w:t>F</w:t>
            </w:r>
            <w:r>
              <w:rPr>
                <w:rFonts w:ascii="Times New Roman" w:hAnsi="Times New Roman" w:cs="Times New Roman"/>
                <w:b/>
                <w:szCs w:val="24"/>
              </w:rPr>
              <w:t>D</w:t>
            </w:r>
          </w:p>
        </w:tc>
        <w:tc>
          <w:tcPr>
            <w:tcW w:w="8208" w:type="dxa"/>
          </w:tcPr>
          <w:p w:rsidR="005E2C6C" w:rsidRPr="00667DCA" w:rsidRDefault="00306FC6" w:rsidP="00AF727A">
            <w:pPr>
              <w:spacing w:after="120"/>
              <w:rPr>
                <w:rFonts w:ascii="Times New Roman" w:hAnsi="Times New Roman" w:cs="Times New Roman"/>
                <w:sz w:val="18"/>
                <w:szCs w:val="20"/>
              </w:rPr>
            </w:pPr>
            <w:r>
              <w:rPr>
                <w:rFonts w:ascii="Times New Roman" w:hAnsi="Times New Roman" w:cs="Times New Roman"/>
                <w:sz w:val="18"/>
                <w:szCs w:val="20"/>
              </w:rPr>
              <w:t>Overall f</w:t>
            </w:r>
            <w:r w:rsidR="005E2C6C" w:rsidRPr="00667DCA">
              <w:rPr>
                <w:rFonts w:ascii="Times New Roman" w:hAnsi="Times New Roman" w:cs="Times New Roman"/>
                <w:sz w:val="18"/>
                <w:szCs w:val="20"/>
              </w:rPr>
              <w:t>inancial market development, which is the combination of EQUITY and CREDIT.</w:t>
            </w:r>
          </w:p>
        </w:tc>
      </w:tr>
      <w:tr w:rsidR="005E2C6C" w:rsidRPr="00667DCA" w:rsidTr="00AF727A">
        <w:tc>
          <w:tcPr>
            <w:tcW w:w="1368" w:type="dxa"/>
          </w:tcPr>
          <w:p w:rsidR="005E2C6C" w:rsidRPr="00667DCA" w:rsidRDefault="005E2C6C" w:rsidP="00AF727A">
            <w:pPr>
              <w:spacing w:after="120"/>
              <w:rPr>
                <w:rFonts w:ascii="Times New Roman" w:hAnsi="Times New Roman" w:cs="Times New Roman"/>
                <w:b/>
                <w:szCs w:val="24"/>
              </w:rPr>
            </w:pPr>
            <w:r w:rsidRPr="00667DCA">
              <w:rPr>
                <w:rFonts w:ascii="Times New Roman" w:hAnsi="Times New Roman" w:cs="Times New Roman"/>
                <w:b/>
                <w:szCs w:val="24"/>
              </w:rPr>
              <w:t>IPO</w:t>
            </w:r>
          </w:p>
        </w:tc>
        <w:tc>
          <w:tcPr>
            <w:tcW w:w="8208" w:type="dxa"/>
          </w:tcPr>
          <w:p w:rsidR="005E2C6C" w:rsidRPr="00667DCA" w:rsidRDefault="005E2C6C" w:rsidP="00AF727A">
            <w:pPr>
              <w:spacing w:after="120"/>
              <w:rPr>
                <w:rFonts w:ascii="Times New Roman" w:hAnsi="Times New Roman" w:cs="Times New Roman"/>
                <w:sz w:val="18"/>
                <w:szCs w:val="20"/>
              </w:rPr>
            </w:pPr>
            <w:r w:rsidRPr="00667DCA">
              <w:rPr>
                <w:rFonts w:ascii="Times New Roman" w:hAnsi="Times New Roman" w:cs="Times New Roman"/>
                <w:sz w:val="18"/>
                <w:szCs w:val="20"/>
              </w:rPr>
              <w:t>The average ratio of the equity issued by newly listed firms in a given country (in</w:t>
            </w:r>
            <w:r>
              <w:rPr>
                <w:rFonts w:ascii="Times New Roman" w:hAnsi="Times New Roman" w:cs="Times New Roman"/>
                <w:sz w:val="18"/>
                <w:szCs w:val="20"/>
              </w:rPr>
              <w:t xml:space="preserve"> </w:t>
            </w:r>
            <w:r w:rsidRPr="00667DCA">
              <w:rPr>
                <w:rFonts w:ascii="Times New Roman" w:hAnsi="Times New Roman" w:cs="Times New Roman"/>
                <w:sz w:val="18"/>
                <w:szCs w:val="20"/>
              </w:rPr>
              <w:t xml:space="preserve">thousands) to its GDP (in millions) over the period 1996 to 2000. Source of this item is </w:t>
            </w:r>
            <w:r w:rsidRPr="00667DCA">
              <w:rPr>
                <w:rFonts w:ascii="Times New Roman" w:hAnsi="Times New Roman" w:cs="Times New Roman"/>
                <w:sz w:val="18"/>
                <w:szCs w:val="20"/>
              </w:rPr>
              <w:fldChar w:fldCharType="begin" w:fldLock="1"/>
            </w:r>
            <w:r w:rsidR="00E57761">
              <w:rPr>
                <w:rFonts w:ascii="Times New Roman" w:hAnsi="Times New Roman" w:cs="Times New Roman"/>
                <w:sz w:val="18"/>
                <w:szCs w:val="20"/>
              </w:rPr>
              <w:instrText>ADDIN CSL_CITATION { "citationItems" : [ { "id" : "ITEM-1", "itemData" : { "DOI" : "10.1111/j.1540-6261.2006.00828.x", "ISBN" : "00221082", "ISSN" : "00221082", "abstract" : "We examine the effect of securities laws on stock market development in 49 countries. We find little evidence that public enforcement benefits stock markets, but strong evidence that laws mandating disclosure and facilitating private enforcement through liability rules benefit stock markets", "author" : [ { "dropping-particle" : "", "family" : "Porta", "given" : "Rafael", "non-dropping-particle" : "La", "parse-names" : false, "suffix" : "" }, { "dropping-particle" : "", "family" : "Lopez-De-Silanes", "given" : "Florencio", "non-dropping-particle" : "", "parse-names" : false, "suffix" : "" }, { "dropping-particle" : "", "family" : "Shleifer", "given" : "Andrei", "non-dropping-particle" : "", "parse-names" : false, "suffix" : "" } ], "container-title" : "Journal of Finance", "id" : "ITEM-1", "issue" : "1", "issued" : { "date-parts" : [ [ "2006" ] ] }, "page" : "1-32", "title" : "What works in securities laws?", "type" : "article-journal", "volume" : "61" }, "uris" : [ "http://www.mendeley.com/documents/?uuid=02e5915c-024b-47a5-a430-9f6a242e2d32" ] } ], "mendeley" : { "formattedCitation" : "La Porta, Lopez-De-Silanes, and Shleifer (2006)", "plainTextFormattedCitation" : "La Porta, Lopez-De-Silanes, and Shleifer (2006)", "previouslyFormattedCitation" : "La Porta, Lopez-De-Silanes, and Shleifer (2006)" }, "properties" : { "noteIndex" : 0 }, "schema" : "https://github.com/citation-style-language/schema/raw/master/csl-citation.json" }</w:instrText>
            </w:r>
            <w:r w:rsidRPr="00667DCA">
              <w:rPr>
                <w:rFonts w:ascii="Times New Roman" w:hAnsi="Times New Roman" w:cs="Times New Roman"/>
                <w:sz w:val="18"/>
                <w:szCs w:val="20"/>
              </w:rPr>
              <w:fldChar w:fldCharType="separate"/>
            </w:r>
            <w:r w:rsidR="00C462AD" w:rsidRPr="00C462AD">
              <w:rPr>
                <w:rFonts w:ascii="Times New Roman" w:hAnsi="Times New Roman" w:cs="Times New Roman"/>
                <w:noProof/>
                <w:sz w:val="18"/>
                <w:szCs w:val="20"/>
              </w:rPr>
              <w:t>La Porta, Lopez-De-Silanes, and Shleifer (2006)</w:t>
            </w:r>
            <w:r w:rsidRPr="00667DCA">
              <w:rPr>
                <w:rFonts w:ascii="Times New Roman" w:hAnsi="Times New Roman" w:cs="Times New Roman"/>
                <w:sz w:val="18"/>
                <w:szCs w:val="20"/>
              </w:rPr>
              <w:fldChar w:fldCharType="end"/>
            </w:r>
            <w:r w:rsidRPr="00667DCA">
              <w:rPr>
                <w:rFonts w:ascii="Times New Roman" w:hAnsi="Times New Roman" w:cs="Times New Roman"/>
                <w:sz w:val="18"/>
                <w:szCs w:val="20"/>
              </w:rPr>
              <w:t>.</w:t>
            </w:r>
          </w:p>
        </w:tc>
      </w:tr>
      <w:tr w:rsidR="005E2C6C" w:rsidRPr="00667DCA" w:rsidTr="00AF727A">
        <w:tc>
          <w:tcPr>
            <w:tcW w:w="1368" w:type="dxa"/>
          </w:tcPr>
          <w:p w:rsidR="005E2C6C" w:rsidRPr="00667DCA" w:rsidRDefault="005E2C6C" w:rsidP="00AF727A">
            <w:pPr>
              <w:spacing w:after="120"/>
              <w:rPr>
                <w:rFonts w:ascii="Times New Roman" w:hAnsi="Times New Roman" w:cs="Times New Roman"/>
                <w:b/>
                <w:szCs w:val="24"/>
              </w:rPr>
            </w:pPr>
            <w:r w:rsidRPr="00667DCA">
              <w:rPr>
                <w:rFonts w:ascii="Times New Roman" w:hAnsi="Times New Roman" w:cs="Times New Roman"/>
                <w:b/>
                <w:szCs w:val="24"/>
              </w:rPr>
              <w:t>UK</w:t>
            </w:r>
          </w:p>
        </w:tc>
        <w:tc>
          <w:tcPr>
            <w:tcW w:w="8208" w:type="dxa"/>
          </w:tcPr>
          <w:p w:rsidR="005E2C6C" w:rsidRPr="00667DCA" w:rsidRDefault="005E2C6C" w:rsidP="00306FC6">
            <w:pPr>
              <w:spacing w:after="120"/>
              <w:rPr>
                <w:rFonts w:ascii="Times New Roman" w:hAnsi="Times New Roman" w:cs="Times New Roman"/>
                <w:sz w:val="18"/>
                <w:szCs w:val="20"/>
              </w:rPr>
            </w:pPr>
            <w:r w:rsidRPr="00667DCA">
              <w:rPr>
                <w:rFonts w:ascii="Times New Roman" w:hAnsi="Times New Roman" w:cs="Times New Roman"/>
                <w:sz w:val="18"/>
                <w:szCs w:val="20"/>
              </w:rPr>
              <w:t>English Common Law indicator</w:t>
            </w:r>
            <w:r w:rsidR="00C462AD">
              <w:rPr>
                <w:rFonts w:ascii="Times New Roman" w:hAnsi="Times New Roman" w:cs="Times New Roman"/>
                <w:sz w:val="18"/>
                <w:szCs w:val="20"/>
              </w:rPr>
              <w:t>—</w:t>
            </w:r>
            <w:r w:rsidRPr="00667DCA">
              <w:rPr>
                <w:rFonts w:ascii="Times New Roman" w:hAnsi="Times New Roman" w:cs="Times New Roman"/>
                <w:sz w:val="18"/>
                <w:szCs w:val="20"/>
              </w:rPr>
              <w:t xml:space="preserve">equal to one if a country has English Common Law legal origin and zero otherwise. </w:t>
            </w:r>
            <w:r w:rsidR="00306FC6">
              <w:rPr>
                <w:rFonts w:ascii="Times New Roman" w:hAnsi="Times New Roman" w:cs="Times New Roman"/>
                <w:sz w:val="18"/>
                <w:szCs w:val="20"/>
              </w:rPr>
              <w:t>We</w:t>
            </w:r>
            <w:r w:rsidRPr="00667DCA">
              <w:rPr>
                <w:rFonts w:ascii="Times New Roman" w:hAnsi="Times New Roman" w:cs="Times New Roman"/>
                <w:sz w:val="18"/>
                <w:szCs w:val="20"/>
              </w:rPr>
              <w:t xml:space="preserve"> do not further classify non-Common-Law origins into French, German, and Scandinavian. This item is obtained from </w:t>
            </w:r>
            <w:r w:rsidRPr="00667DCA">
              <w:rPr>
                <w:rFonts w:ascii="Times New Roman" w:hAnsi="Times New Roman" w:cs="Times New Roman"/>
                <w:sz w:val="18"/>
                <w:szCs w:val="20"/>
              </w:rPr>
              <w:fldChar w:fldCharType="begin" w:fldLock="1"/>
            </w:r>
            <w:r w:rsidR="00E57761">
              <w:rPr>
                <w:rFonts w:ascii="Times New Roman" w:hAnsi="Times New Roman" w:cs="Times New Roman"/>
                <w:sz w:val="18"/>
                <w:szCs w:val="20"/>
              </w:rPr>
              <w:instrText>ADDIN CSL_CITATION { "citationItems" : [ { "id" : "ITEM-1", "itemData" : { "DOI" : "10.1086/250042", "ISSN" : "00223808", "abstract" : "This paper examines legal rules covering protection of corporate shareholders and creditors, the origin of these rules, and the qual- ity of their enforcement in 49 countries. The results show that common-law countries generally have the strongest, and French- civil-law countries the weakest, legal protections of investors, with German- and Scandinavian-civil-law countries located in the mid- dle. We also find that concentration of ownership of shares in the largest public companies is negatively related to investor protec- tions, consistent with the hypothesis that small, diversified share- holders are unlikely to be important in countries that fail to protect their rights.", "author" : [ { "dropping-particle" : "", "family" : "Porta", "given" : "Rafael", "non-dropping-particle" : "La", "parse-names" : false, "suffix" : "" }, { "dropping-particle" : "", "family" : "Lopez-de-SIlanes", "given" : "Florencio", "non-dropping-particle" : "", "parse-names" : false, "suffix" : "" }, { "dropping-particle" : "", "family" : "Shleifer", "given" : "Andrei", "non-dropping-particle" : "", "parse-names" : false, "suffix" : "" }, { "dropping-particle" : "", "family" : "Vishny", "given" : "Robert W", "non-dropping-particle" : "", "parse-names" : false, "suffix" : "" } ], "container-title" : "Journal of Political Economy", "id" : "ITEM-1", "issue" : "6", "issued" : { "date-parts" : [ [ "1998" ] ] }, "page" : "11131-55", "title" : "Law and Finance Rafael La Porta , Florencio Lopez-de-Silanes ,", "type" : "article-journal", "volume" : "106" }, "uris" : [ "http://www.mendeley.com/documents/?uuid=4aa5ecb9-0b68-4d9b-a6f4-175131ed927e" ] } ], "mendeley" : { "formattedCitation" : "La Porta et al. (1998)", "manualFormatting" : "LLSV (1998)", "plainTextFormattedCitation" : "La Porta et al. (1998)", "previouslyFormattedCitation" : "La Porta et al. (1998)" }, "properties" : { "noteIndex" : 0 }, "schema" : "https://github.com/citation-style-language/schema/raw/master/csl-citation.json" }</w:instrText>
            </w:r>
            <w:r w:rsidRPr="00667DCA">
              <w:rPr>
                <w:rFonts w:ascii="Times New Roman" w:hAnsi="Times New Roman" w:cs="Times New Roman"/>
                <w:sz w:val="18"/>
                <w:szCs w:val="20"/>
              </w:rPr>
              <w:fldChar w:fldCharType="separate"/>
            </w:r>
            <w:r w:rsidRPr="00667DCA">
              <w:rPr>
                <w:rFonts w:ascii="Times New Roman" w:hAnsi="Times New Roman" w:cs="Times New Roman"/>
                <w:noProof/>
                <w:sz w:val="18"/>
                <w:szCs w:val="20"/>
              </w:rPr>
              <w:t>LLSV (1998)</w:t>
            </w:r>
            <w:r w:rsidRPr="00667DCA">
              <w:rPr>
                <w:rFonts w:ascii="Times New Roman" w:hAnsi="Times New Roman" w:cs="Times New Roman"/>
                <w:sz w:val="18"/>
                <w:szCs w:val="20"/>
              </w:rPr>
              <w:fldChar w:fldCharType="end"/>
            </w:r>
            <w:r w:rsidR="00C462AD">
              <w:rPr>
                <w:rFonts w:ascii="Times New Roman" w:hAnsi="Times New Roman" w:cs="Times New Roman"/>
                <w:sz w:val="18"/>
                <w:szCs w:val="20"/>
              </w:rPr>
              <w:t>.</w:t>
            </w:r>
          </w:p>
        </w:tc>
      </w:tr>
      <w:tr w:rsidR="005E2C6C" w:rsidRPr="00667DCA" w:rsidTr="00AF727A">
        <w:tc>
          <w:tcPr>
            <w:tcW w:w="1368" w:type="dxa"/>
          </w:tcPr>
          <w:p w:rsidR="005E2C6C" w:rsidRPr="00667DCA" w:rsidRDefault="005E2C6C" w:rsidP="00AF727A">
            <w:pPr>
              <w:spacing w:after="120"/>
              <w:rPr>
                <w:rFonts w:ascii="Times New Roman" w:hAnsi="Times New Roman" w:cs="Times New Roman"/>
                <w:b/>
                <w:szCs w:val="24"/>
              </w:rPr>
            </w:pPr>
            <w:r w:rsidRPr="00667DCA">
              <w:rPr>
                <w:rFonts w:ascii="Times New Roman" w:hAnsi="Times New Roman" w:cs="Times New Roman"/>
                <w:b/>
                <w:szCs w:val="24"/>
              </w:rPr>
              <w:t>RULE</w:t>
            </w:r>
          </w:p>
        </w:tc>
        <w:tc>
          <w:tcPr>
            <w:tcW w:w="8208" w:type="dxa"/>
          </w:tcPr>
          <w:p w:rsidR="005E2C6C" w:rsidRPr="00667DCA" w:rsidRDefault="005E2C6C" w:rsidP="00AF727A">
            <w:pPr>
              <w:spacing w:after="120"/>
              <w:rPr>
                <w:rFonts w:ascii="Times New Roman" w:hAnsi="Times New Roman" w:cs="Times New Roman"/>
                <w:sz w:val="18"/>
                <w:szCs w:val="20"/>
              </w:rPr>
            </w:pPr>
            <w:r w:rsidRPr="00667DCA">
              <w:rPr>
                <w:rFonts w:ascii="Times New Roman" w:hAnsi="Times New Roman" w:cs="Times New Roman"/>
                <w:sz w:val="18"/>
                <w:szCs w:val="20"/>
              </w:rPr>
              <w:t>Rule of law index. This is a survey-based index that reflects perceptions of the extent to which agents have confidence in and abide by the rules of society, and in particular the quality of contract enforcement, property rights, the police, and the courts, as well as the likelihood of crime and violence. Source: World Bank’s Worldwide Governance Indicators (WGI) database.</w:t>
            </w:r>
          </w:p>
        </w:tc>
      </w:tr>
      <w:tr w:rsidR="005E2C6C" w:rsidRPr="00667DCA" w:rsidTr="00AF727A">
        <w:tc>
          <w:tcPr>
            <w:tcW w:w="1368" w:type="dxa"/>
            <w:tcBorders>
              <w:top w:val="nil"/>
              <w:bottom w:val="single" w:sz="4" w:space="0" w:color="auto"/>
            </w:tcBorders>
          </w:tcPr>
          <w:p w:rsidR="005E2C6C" w:rsidRPr="00667DCA" w:rsidRDefault="005E2C6C" w:rsidP="00AF727A">
            <w:pPr>
              <w:spacing w:after="120"/>
              <w:rPr>
                <w:rFonts w:ascii="Times New Roman" w:hAnsi="Times New Roman" w:cs="Times New Roman"/>
                <w:b/>
                <w:szCs w:val="24"/>
              </w:rPr>
            </w:pPr>
            <w:r w:rsidRPr="00667DCA">
              <w:rPr>
                <w:rFonts w:ascii="Times New Roman" w:hAnsi="Times New Roman" w:cs="Times New Roman"/>
                <w:b/>
                <w:szCs w:val="24"/>
              </w:rPr>
              <w:t>TAX</w:t>
            </w:r>
            <w:r>
              <w:rPr>
                <w:rFonts w:ascii="Times New Roman" w:hAnsi="Times New Roman" w:cs="Times New Roman"/>
                <w:b/>
                <w:szCs w:val="24"/>
              </w:rPr>
              <w:t>_C</w:t>
            </w:r>
          </w:p>
        </w:tc>
        <w:tc>
          <w:tcPr>
            <w:tcW w:w="8208" w:type="dxa"/>
            <w:tcBorders>
              <w:top w:val="nil"/>
              <w:bottom w:val="single" w:sz="4" w:space="0" w:color="auto"/>
            </w:tcBorders>
          </w:tcPr>
          <w:p w:rsidR="005E2C6C" w:rsidRPr="00667DCA" w:rsidRDefault="005E2C6C" w:rsidP="00AF727A">
            <w:pPr>
              <w:spacing w:after="120"/>
              <w:rPr>
                <w:rFonts w:ascii="Times New Roman" w:hAnsi="Times New Roman" w:cs="Times New Roman"/>
                <w:sz w:val="18"/>
                <w:szCs w:val="20"/>
              </w:rPr>
            </w:pPr>
            <w:r w:rsidRPr="00667DCA">
              <w:rPr>
                <w:rFonts w:ascii="Times New Roman" w:hAnsi="Times New Roman" w:cs="Times New Roman"/>
                <w:sz w:val="18"/>
                <w:szCs w:val="20"/>
              </w:rPr>
              <w:t xml:space="preserve">Tax rate at </w:t>
            </w:r>
            <w:r w:rsidR="00C462AD">
              <w:rPr>
                <w:rFonts w:ascii="Times New Roman" w:hAnsi="Times New Roman" w:cs="Times New Roman"/>
                <w:sz w:val="18"/>
                <w:szCs w:val="20"/>
              </w:rPr>
              <w:t xml:space="preserve">the </w:t>
            </w:r>
            <w:r w:rsidRPr="00667DCA">
              <w:rPr>
                <w:rFonts w:ascii="Times New Roman" w:hAnsi="Times New Roman" w:cs="Times New Roman"/>
                <w:sz w:val="18"/>
                <w:szCs w:val="20"/>
              </w:rPr>
              <w:t xml:space="preserve">country level. It </w:t>
            </w:r>
            <w:r>
              <w:rPr>
                <w:rFonts w:ascii="Times New Roman" w:hAnsi="Times New Roman" w:cs="Times New Roman"/>
                <w:sz w:val="18"/>
                <w:szCs w:val="20"/>
              </w:rPr>
              <w:t>measures</w:t>
            </w:r>
            <w:r w:rsidRPr="00F50332">
              <w:rPr>
                <w:rFonts w:ascii="Times New Roman" w:hAnsi="Times New Roman" w:cs="Times New Roman"/>
                <w:sz w:val="18"/>
                <w:szCs w:val="20"/>
              </w:rPr>
              <w:t xml:space="preserve"> the basic central government statutory (flat or top marginal) corporate income tax rate</w:t>
            </w:r>
            <w:r w:rsidRPr="00667DCA">
              <w:rPr>
                <w:rFonts w:ascii="Times New Roman" w:hAnsi="Times New Roman" w:cs="Times New Roman"/>
                <w:sz w:val="18"/>
                <w:szCs w:val="20"/>
              </w:rPr>
              <w:t xml:space="preserve">. Source: </w:t>
            </w:r>
            <w:r>
              <w:rPr>
                <w:rFonts w:ascii="Times New Roman" w:hAnsi="Times New Roman" w:cs="Times New Roman"/>
                <w:sz w:val="18"/>
                <w:szCs w:val="20"/>
              </w:rPr>
              <w:t>OECD</w:t>
            </w:r>
            <w:r w:rsidRPr="00667DCA">
              <w:rPr>
                <w:rFonts w:ascii="Times New Roman" w:hAnsi="Times New Roman" w:cs="Times New Roman"/>
                <w:sz w:val="18"/>
                <w:szCs w:val="20"/>
              </w:rPr>
              <w:t>.</w:t>
            </w:r>
          </w:p>
        </w:tc>
      </w:tr>
    </w:tbl>
    <w:p w:rsidR="00821BD4" w:rsidRPr="00667DCA" w:rsidRDefault="00821BD4" w:rsidP="004F4FF3">
      <w:pPr>
        <w:spacing w:after="0" w:line="480" w:lineRule="auto"/>
        <w:ind w:firstLine="288"/>
        <w:jc w:val="both"/>
        <w:rPr>
          <w:rFonts w:ascii="Times New Roman" w:hAnsi="Times New Roman" w:cs="Times New Roman"/>
          <w:b/>
          <w:sz w:val="24"/>
          <w:szCs w:val="24"/>
        </w:rPr>
      </w:pPr>
      <w:r w:rsidRPr="00667DCA">
        <w:rPr>
          <w:rFonts w:ascii="Times New Roman" w:hAnsi="Times New Roman" w:cs="Times New Roman"/>
          <w:b/>
          <w:sz w:val="24"/>
          <w:szCs w:val="24"/>
        </w:rPr>
        <w:br w:type="page"/>
      </w:r>
    </w:p>
    <w:p w:rsidR="00821BD4" w:rsidRPr="00EE1141" w:rsidRDefault="00821BD4" w:rsidP="00821BD4">
      <w:pPr>
        <w:autoSpaceDE w:val="0"/>
        <w:autoSpaceDN w:val="0"/>
        <w:adjustRightInd w:val="0"/>
        <w:spacing w:after="0" w:line="240" w:lineRule="auto"/>
        <w:rPr>
          <w:rFonts w:ascii="Times New Roman" w:hAnsi="Times New Roman" w:cs="Times New Roman"/>
          <w:b/>
          <w:sz w:val="24"/>
          <w:szCs w:val="24"/>
        </w:rPr>
      </w:pPr>
      <w:r w:rsidRPr="00EE1141">
        <w:rPr>
          <w:rFonts w:ascii="Times New Roman" w:hAnsi="Times New Roman" w:cs="Times New Roman"/>
          <w:b/>
          <w:sz w:val="24"/>
          <w:szCs w:val="24"/>
        </w:rPr>
        <w:lastRenderedPageBreak/>
        <w:t>References</w:t>
      </w:r>
    </w:p>
    <w:p w:rsidR="00821BD4" w:rsidRPr="00EE1141" w:rsidRDefault="00821BD4" w:rsidP="00821BD4">
      <w:pPr>
        <w:autoSpaceDE w:val="0"/>
        <w:autoSpaceDN w:val="0"/>
        <w:adjustRightInd w:val="0"/>
        <w:spacing w:after="0" w:line="240" w:lineRule="auto"/>
        <w:rPr>
          <w:rFonts w:ascii="Times New Roman" w:hAnsi="Times New Roman" w:cs="Times New Roman"/>
          <w:b/>
          <w:sz w:val="24"/>
          <w:szCs w:val="24"/>
        </w:rPr>
      </w:pPr>
    </w:p>
    <w:p w:rsidR="00E57761" w:rsidRPr="00E57761" w:rsidRDefault="00C462AD" w:rsidP="00E57761">
      <w:pPr>
        <w:widowControl w:val="0"/>
        <w:autoSpaceDE w:val="0"/>
        <w:autoSpaceDN w:val="0"/>
        <w:adjustRightInd w:val="0"/>
        <w:spacing w:after="120" w:line="240" w:lineRule="auto"/>
        <w:rPr>
          <w:rFonts w:ascii="Times New Roman" w:hAnsi="Times New Roman" w:cs="Times New Roman"/>
          <w:noProof/>
          <w:szCs w:val="24"/>
        </w:rPr>
      </w:pPr>
      <w:r w:rsidRPr="00EE1141">
        <w:rPr>
          <w:rFonts w:ascii="Times New Roman" w:hAnsi="Times New Roman" w:cs="Times New Roman"/>
        </w:rPr>
        <w:fldChar w:fldCharType="begin" w:fldLock="1"/>
      </w:r>
      <w:r w:rsidRPr="00EE1141">
        <w:rPr>
          <w:rFonts w:ascii="Times New Roman" w:hAnsi="Times New Roman" w:cs="Times New Roman"/>
        </w:rPr>
        <w:instrText xml:space="preserve">ADDIN Mendeley Bibliography CSL_BIBLIOGRAPHY </w:instrText>
      </w:r>
      <w:r w:rsidRPr="00EE1141">
        <w:rPr>
          <w:rFonts w:ascii="Times New Roman" w:hAnsi="Times New Roman" w:cs="Times New Roman"/>
        </w:rPr>
        <w:fldChar w:fldCharType="separate"/>
      </w:r>
      <w:r w:rsidR="00E57761" w:rsidRPr="00E57761">
        <w:rPr>
          <w:rFonts w:ascii="Times New Roman" w:hAnsi="Times New Roman" w:cs="Times New Roman"/>
          <w:noProof/>
          <w:szCs w:val="24"/>
        </w:rPr>
        <w:t xml:space="preserve">Almeida, Heitor, Murillo Campello, and Antonio F. Galvao, 2010, Measurement errors in investment equations, </w:t>
      </w:r>
      <w:r w:rsidR="00E57761" w:rsidRPr="00E57761">
        <w:rPr>
          <w:rFonts w:ascii="Times New Roman" w:hAnsi="Times New Roman" w:cs="Times New Roman"/>
          <w:i/>
          <w:iCs/>
          <w:noProof/>
          <w:szCs w:val="24"/>
        </w:rPr>
        <w:t>Review of Financial Studies</w:t>
      </w:r>
      <w:r w:rsidR="00E57761" w:rsidRPr="00E57761">
        <w:rPr>
          <w:rFonts w:ascii="Times New Roman" w:hAnsi="Times New Roman" w:cs="Times New Roman"/>
          <w:noProof/>
          <w:szCs w:val="24"/>
        </w:rPr>
        <w:t xml:space="preserve"> 23, 3279–3328.</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Beck, Thorsten, Ross Levine, and Norman Loayza, 2000, Finance and the sources of growth,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58, 261–300.</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Bertrand, Marianne, and Sendhil Mullainathan, 2003, Enjoying the Quiet Life ? Corporate Governance and Managerial Preferences, </w:t>
      </w:r>
      <w:r w:rsidRPr="00E57761">
        <w:rPr>
          <w:rFonts w:ascii="Times New Roman" w:hAnsi="Times New Roman" w:cs="Times New Roman"/>
          <w:i/>
          <w:iCs/>
          <w:noProof/>
          <w:szCs w:val="24"/>
        </w:rPr>
        <w:t>Journal of Political Economy</w:t>
      </w:r>
      <w:r w:rsidRPr="00E57761">
        <w:rPr>
          <w:rFonts w:ascii="Times New Roman" w:hAnsi="Times New Roman" w:cs="Times New Roman"/>
          <w:noProof/>
          <w:szCs w:val="24"/>
        </w:rPr>
        <w:t xml:space="preserve"> 111, 1043–1075.</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Bhattacharya, Utpal, and Hazem Daouk, 2002, The World Price of Insider Trading, </w:t>
      </w:r>
      <w:r w:rsidRPr="00E57761">
        <w:rPr>
          <w:rFonts w:ascii="Times New Roman" w:hAnsi="Times New Roman" w:cs="Times New Roman"/>
          <w:i/>
          <w:iCs/>
          <w:noProof/>
          <w:szCs w:val="24"/>
        </w:rPr>
        <w:t>The Journal of Finance</w:t>
      </w:r>
      <w:r w:rsidRPr="00E57761">
        <w:rPr>
          <w:rFonts w:ascii="Times New Roman" w:hAnsi="Times New Roman" w:cs="Times New Roman"/>
          <w:noProof/>
          <w:szCs w:val="24"/>
        </w:rPr>
        <w:t xml:space="preserve"> LVII, 1–34.</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Brockman, Paul, and Emre Unlu, 2009, Dividend policy, creditor rights, and the agency costs of debt,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92, 276–299.</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Brown, James R., Gustav Martinsson, and Bruce C. Petersen, 2013, Law, stock markets, and innovation, </w:t>
      </w:r>
      <w:r w:rsidRPr="00E57761">
        <w:rPr>
          <w:rFonts w:ascii="Times New Roman" w:hAnsi="Times New Roman" w:cs="Times New Roman"/>
          <w:i/>
          <w:iCs/>
          <w:noProof/>
          <w:szCs w:val="24"/>
        </w:rPr>
        <w:t>Journal of Finance</w:t>
      </w:r>
      <w:r w:rsidRPr="00E57761">
        <w:rPr>
          <w:rFonts w:ascii="Times New Roman" w:hAnsi="Times New Roman" w:cs="Times New Roman"/>
          <w:noProof/>
          <w:szCs w:val="24"/>
        </w:rPr>
        <w:t xml:space="preserve"> 68, 1517–1549.</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Callen, Jeffrey L., Joshua Livnat, and Stephen G. Ryan, 1996, Capital Expenditures: Value-relevance and fourth-quarter effects, </w:t>
      </w:r>
      <w:r w:rsidRPr="00E57761">
        <w:rPr>
          <w:rFonts w:ascii="Times New Roman" w:hAnsi="Times New Roman" w:cs="Times New Roman"/>
          <w:i/>
          <w:iCs/>
          <w:noProof/>
          <w:szCs w:val="24"/>
        </w:rPr>
        <w:t>The Journal of Financial Statement Analysis</w:t>
      </w:r>
      <w:r w:rsidRPr="00E57761">
        <w:rPr>
          <w:rFonts w:ascii="Times New Roman" w:hAnsi="Times New Roman" w:cs="Times New Roman"/>
          <w:noProof/>
          <w:szCs w:val="24"/>
        </w:rPr>
        <w:t>, 13–24.</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Chen, Huafeng, and Shaojun Chen, 2012, Investment-cash flow sensitivity cannot be a good measure of financial constraints: Evidence from the time series,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103, 393–410.</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Cumming, Douglas, Igor Filatotchev, April Knill, David Mitchell Reeb, and Lemma Senbet, 2017, Law, finance, and the international mobility of corporate governance, </w:t>
      </w:r>
      <w:r w:rsidRPr="00E57761">
        <w:rPr>
          <w:rFonts w:ascii="Times New Roman" w:hAnsi="Times New Roman" w:cs="Times New Roman"/>
          <w:i/>
          <w:iCs/>
          <w:noProof/>
          <w:szCs w:val="24"/>
        </w:rPr>
        <w:t>Journal of International Business Studies</w:t>
      </w:r>
      <w:r w:rsidRPr="00E57761">
        <w:rPr>
          <w:rFonts w:ascii="Times New Roman" w:hAnsi="Times New Roman" w:cs="Times New Roman"/>
          <w:noProof/>
          <w:szCs w:val="24"/>
        </w:rPr>
        <w:t xml:space="preserve"> 48, 123–147.</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Cumming, Douglas, and Uwe Walz, 2010, Private equity returns and disclosure around the world, </w:t>
      </w:r>
      <w:r w:rsidRPr="00E57761">
        <w:rPr>
          <w:rFonts w:ascii="Times New Roman" w:hAnsi="Times New Roman" w:cs="Times New Roman"/>
          <w:i/>
          <w:iCs/>
          <w:noProof/>
          <w:szCs w:val="24"/>
        </w:rPr>
        <w:t>Journal of International Business Studies</w:t>
      </w:r>
      <w:r w:rsidRPr="00E57761">
        <w:rPr>
          <w:rFonts w:ascii="Times New Roman" w:hAnsi="Times New Roman" w:cs="Times New Roman"/>
          <w:noProof/>
          <w:szCs w:val="24"/>
        </w:rPr>
        <w:t xml:space="preserve"> 41, 727–754.</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Dai, Na, and Rajarishi Nahata, 2015, Cultural differences and cross-border venture capital syndication, </w:t>
      </w:r>
      <w:r w:rsidRPr="00E57761">
        <w:rPr>
          <w:rFonts w:ascii="Times New Roman" w:hAnsi="Times New Roman" w:cs="Times New Roman"/>
          <w:i/>
          <w:iCs/>
          <w:noProof/>
          <w:szCs w:val="24"/>
        </w:rPr>
        <w:t>Journal of International Business Studies</w:t>
      </w:r>
      <w:r w:rsidRPr="00E57761">
        <w:rPr>
          <w:rFonts w:ascii="Times New Roman" w:hAnsi="Times New Roman" w:cs="Times New Roman"/>
          <w:noProof/>
          <w:szCs w:val="24"/>
        </w:rPr>
        <w:t xml:space="preserve"> 47, 1–30.</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Das, Somnath, Pervin K Shroff, and Haiwen Zhang, 2009, Quarterly Earnings Patterns and Earnings Management, </w:t>
      </w:r>
      <w:r w:rsidRPr="00E57761">
        <w:rPr>
          <w:rFonts w:ascii="Times New Roman" w:hAnsi="Times New Roman" w:cs="Times New Roman"/>
          <w:i/>
          <w:iCs/>
          <w:noProof/>
          <w:szCs w:val="24"/>
        </w:rPr>
        <w:t>Contemporary Accounting Research</w:t>
      </w:r>
      <w:r w:rsidRPr="00E57761">
        <w:rPr>
          <w:rFonts w:ascii="Times New Roman" w:hAnsi="Times New Roman" w:cs="Times New Roman"/>
          <w:noProof/>
          <w:szCs w:val="24"/>
        </w:rPr>
        <w:t xml:space="preserve"> 26, 797–831.</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Dittmar, Amy, and Jan Mahrt-Smith, 2007, Corporate governance and the value of cash holdings,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83, 599–634.</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Djankov, Simeon, Oliver Hart, Caralee McLiesh, and Andrei Shleifer, 2008, Debt Enforcement around the World, </w:t>
      </w:r>
      <w:r w:rsidRPr="00E57761">
        <w:rPr>
          <w:rFonts w:ascii="Times New Roman" w:hAnsi="Times New Roman" w:cs="Times New Roman"/>
          <w:i/>
          <w:iCs/>
          <w:noProof/>
          <w:szCs w:val="24"/>
        </w:rPr>
        <w:t>Journal of Political Economy</w:t>
      </w:r>
      <w:r w:rsidRPr="00E57761">
        <w:rPr>
          <w:rFonts w:ascii="Times New Roman" w:hAnsi="Times New Roman" w:cs="Times New Roman"/>
          <w:noProof/>
          <w:szCs w:val="24"/>
        </w:rPr>
        <w:t xml:space="preserve"> 116, 1105–1149.</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Djankov, Simeon, Rafael La Porta, Florencio Lopez-de-Silanes, and Andrei Shleifer, 2008, The law and economics of self-dealing,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88, 430–465.</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Djankov, Simeon, Caralee McLiesh, and Andrei Shleifer, 2007, Private credit in 129 countries,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84, 299–329.</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Duchin, Ran, Oguzhan Ozbas, and Berk a. Sensoy, 2010, Costly external finance, corporate investment, and the subprime mortgage credit crisis,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97, 418–435.</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Duchin, Ran, and Denis Sosyura, 2013, Divisional managers and internal capital markets, </w:t>
      </w:r>
      <w:r w:rsidRPr="00E57761">
        <w:rPr>
          <w:rFonts w:ascii="Times New Roman" w:hAnsi="Times New Roman" w:cs="Times New Roman"/>
          <w:i/>
          <w:iCs/>
          <w:noProof/>
          <w:szCs w:val="24"/>
        </w:rPr>
        <w:t>Journal of Finance</w:t>
      </w:r>
      <w:r w:rsidRPr="00E57761">
        <w:rPr>
          <w:rFonts w:ascii="Times New Roman" w:hAnsi="Times New Roman" w:cs="Times New Roman"/>
          <w:noProof/>
          <w:szCs w:val="24"/>
        </w:rPr>
        <w:t xml:space="preserve"> 68, 387–429.</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Ellis, Jesse A, Sara B Moeller, Frederik P Schlingemann, and René M Stulz, 2016, Portable country governance and cross-border acquisitions, </w:t>
      </w:r>
      <w:r w:rsidRPr="00E57761">
        <w:rPr>
          <w:rFonts w:ascii="Times New Roman" w:hAnsi="Times New Roman" w:cs="Times New Roman"/>
          <w:i/>
          <w:iCs/>
          <w:noProof/>
          <w:szCs w:val="24"/>
        </w:rPr>
        <w:t>Journal of International Business Studies</w:t>
      </w:r>
      <w:r w:rsidRPr="00E57761">
        <w:rPr>
          <w:rFonts w:ascii="Times New Roman" w:hAnsi="Times New Roman" w:cs="Times New Roman"/>
          <w:noProof/>
          <w:szCs w:val="24"/>
        </w:rPr>
        <w:t>, 1–26.</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Erickson, Timothy, and Toni M. Whited, 2000, Measurement Error and the Relationship between </w:t>
      </w:r>
      <w:r w:rsidRPr="00E57761">
        <w:rPr>
          <w:rFonts w:ascii="Times New Roman" w:hAnsi="Times New Roman" w:cs="Times New Roman"/>
          <w:noProof/>
          <w:szCs w:val="24"/>
        </w:rPr>
        <w:lastRenderedPageBreak/>
        <w:t xml:space="preserve">Investment and q, </w:t>
      </w:r>
      <w:r w:rsidRPr="00E57761">
        <w:rPr>
          <w:rFonts w:ascii="Times New Roman" w:hAnsi="Times New Roman" w:cs="Times New Roman"/>
          <w:i/>
          <w:iCs/>
          <w:noProof/>
          <w:szCs w:val="24"/>
        </w:rPr>
        <w:t>Journal of Political Economy</w:t>
      </w:r>
      <w:r w:rsidRPr="00E57761">
        <w:rPr>
          <w:rFonts w:ascii="Times New Roman" w:hAnsi="Times New Roman" w:cs="Times New Roman"/>
          <w:noProof/>
          <w:szCs w:val="24"/>
        </w:rPr>
        <w:t xml:space="preserve"> 108, 1027–1057.</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Fama, Eugene F., and Kenneth R. French, 1997, Industry costs of equity,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43, 153–193.</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Fazzari, Steven M, R Glenn Hubbard, Bruce C Petersen, Alan S Blinder, and M James, 1988, Financing Corporate Constraints Investment, </w:t>
      </w:r>
      <w:r w:rsidRPr="00E57761">
        <w:rPr>
          <w:rFonts w:ascii="Times New Roman" w:hAnsi="Times New Roman" w:cs="Times New Roman"/>
          <w:i/>
          <w:iCs/>
          <w:noProof/>
          <w:szCs w:val="24"/>
        </w:rPr>
        <w:t>Brookings Papers on Economic Activity</w:t>
      </w:r>
      <w:r w:rsidRPr="00E57761">
        <w:rPr>
          <w:rFonts w:ascii="Times New Roman" w:hAnsi="Times New Roman" w:cs="Times New Roman"/>
          <w:noProof/>
          <w:szCs w:val="24"/>
        </w:rPr>
        <w:t xml:space="preserve"> 1, 141–206.</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Gabaix, X, and A Landier, 2008, Why Has CEO Pay Increased So Much?, </w:t>
      </w:r>
      <w:r w:rsidRPr="00E57761">
        <w:rPr>
          <w:rFonts w:ascii="Times New Roman" w:hAnsi="Times New Roman" w:cs="Times New Roman"/>
          <w:i/>
          <w:iCs/>
          <w:noProof/>
          <w:szCs w:val="24"/>
        </w:rPr>
        <w:t>Quarterly Journal of Economics</w:t>
      </w:r>
      <w:r w:rsidRPr="00E57761">
        <w:rPr>
          <w:rFonts w:ascii="Times New Roman" w:hAnsi="Times New Roman" w:cs="Times New Roman"/>
          <w:noProof/>
          <w:szCs w:val="24"/>
        </w:rPr>
        <w:t xml:space="preserve"> 123, 49–100.</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Gertner, Robert, Eric Powers, and David Scharfstein, 2002, Learning about Internal Capital Markets from Corporate Spin-offs, </w:t>
      </w:r>
      <w:r w:rsidRPr="00E57761">
        <w:rPr>
          <w:rFonts w:ascii="Times New Roman" w:hAnsi="Times New Roman" w:cs="Times New Roman"/>
          <w:i/>
          <w:iCs/>
          <w:noProof/>
          <w:szCs w:val="24"/>
        </w:rPr>
        <w:t>Journal of Finance</w:t>
      </w:r>
      <w:r w:rsidRPr="00E57761">
        <w:rPr>
          <w:rFonts w:ascii="Times New Roman" w:hAnsi="Times New Roman" w:cs="Times New Roman"/>
          <w:noProof/>
          <w:szCs w:val="24"/>
        </w:rPr>
        <w:t xml:space="preserve"> 57, 2479–2506.</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Graham, John R., Campbell R. Harvey, and Manju Puri, 2015, Capital allocation and delegation of decision-making authority within firms,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115, 449–470.</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Harris, Milton, and Arthur Raviv, 1996, The Capital Budgeting Process: Incentives and Information, </w:t>
      </w:r>
      <w:r w:rsidRPr="00E57761">
        <w:rPr>
          <w:rFonts w:ascii="Times New Roman" w:hAnsi="Times New Roman" w:cs="Times New Roman"/>
          <w:i/>
          <w:iCs/>
          <w:noProof/>
          <w:szCs w:val="24"/>
        </w:rPr>
        <w:t>Journal of Finance</w:t>
      </w:r>
      <w:r w:rsidRPr="00E57761">
        <w:rPr>
          <w:rFonts w:ascii="Times New Roman" w:hAnsi="Times New Roman" w:cs="Times New Roman"/>
          <w:noProof/>
          <w:szCs w:val="24"/>
        </w:rPr>
        <w:t xml:space="preserve"> 51, 1139.</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Harris, Milton, and Arthur Raviv, 1998, Capital budgeting and delegation.,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50, 259–289.</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Hoechle, Daniel, Markus Schmid, Ingo Walter, and David Yermack, 2012, How much of the diversification discount can be explained by poor corporate governance?,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103, 41–60.</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Hsu, Po-Hsuan, Xuan Tian, and Yan Xu, 2014, Financial development and innovation: Cross-country evidence,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112, 116–135.</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Jensen, Michael C, 1986, Agency costs of free cash flow, corporate finance, and takeovers, </w:t>
      </w:r>
      <w:r w:rsidRPr="00E57761">
        <w:rPr>
          <w:rFonts w:ascii="Times New Roman" w:hAnsi="Times New Roman" w:cs="Times New Roman"/>
          <w:i/>
          <w:iCs/>
          <w:noProof/>
          <w:szCs w:val="24"/>
        </w:rPr>
        <w:t>The American Economic Review</w:t>
      </w:r>
      <w:r w:rsidRPr="00E57761">
        <w:rPr>
          <w:rFonts w:ascii="Times New Roman" w:hAnsi="Times New Roman" w:cs="Times New Roman"/>
          <w:noProof/>
          <w:szCs w:val="24"/>
        </w:rPr>
        <w:t xml:space="preserve"> 76, 323–329.</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Jensen, Michael C., and W H Meckling, 1976, Theory of the Firm: Managerial,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3, 305–360.</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Khurana, Inder K., Xiumin Martin, and Raynolde Pereira, 2006, Financial Development and the Cash Flow Sensitivity of Cash, </w:t>
      </w:r>
      <w:r w:rsidRPr="00E57761">
        <w:rPr>
          <w:rFonts w:ascii="Times New Roman" w:hAnsi="Times New Roman" w:cs="Times New Roman"/>
          <w:i/>
          <w:iCs/>
          <w:noProof/>
          <w:szCs w:val="24"/>
        </w:rPr>
        <w:t>Journal of Financial and Quantitative Analysis</w:t>
      </w:r>
      <w:r w:rsidRPr="00E57761">
        <w:rPr>
          <w:rFonts w:ascii="Times New Roman" w:hAnsi="Times New Roman" w:cs="Times New Roman"/>
          <w:noProof/>
          <w:szCs w:val="24"/>
        </w:rPr>
        <w:t xml:space="preserve"> 41, 787.</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Kinney, Michael, and Robert H. Trezevant, 1993, Taxes and the timing of coporate capital expenditures, </w:t>
      </w:r>
      <w:r w:rsidRPr="00E57761">
        <w:rPr>
          <w:rFonts w:ascii="Times New Roman" w:hAnsi="Times New Roman" w:cs="Times New Roman"/>
          <w:i/>
          <w:iCs/>
          <w:noProof/>
          <w:szCs w:val="24"/>
        </w:rPr>
        <w:t>The Journal of the American Taxation Association</w:t>
      </w:r>
      <w:r w:rsidRPr="00E57761">
        <w:rPr>
          <w:rFonts w:ascii="Times New Roman" w:hAnsi="Times New Roman" w:cs="Times New Roman"/>
          <w:noProof/>
          <w:szCs w:val="24"/>
        </w:rPr>
        <w:t>, 40–62.</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La Porta, Rafael, Florencio Lopez-De-Silanes, and Andrei Shleifer, 1999, Corporate Ownership Around the World, </w:t>
      </w:r>
      <w:r w:rsidRPr="00E57761">
        <w:rPr>
          <w:rFonts w:ascii="Times New Roman" w:hAnsi="Times New Roman" w:cs="Times New Roman"/>
          <w:i/>
          <w:iCs/>
          <w:noProof/>
          <w:szCs w:val="24"/>
        </w:rPr>
        <w:t>The Journal of Finance</w:t>
      </w:r>
      <w:r w:rsidRPr="00E57761">
        <w:rPr>
          <w:rFonts w:ascii="Times New Roman" w:hAnsi="Times New Roman" w:cs="Times New Roman"/>
          <w:noProof/>
          <w:szCs w:val="24"/>
        </w:rPr>
        <w:t xml:space="preserve"> 54, 471–517.</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La Porta, Rafael, Florencio Lopez-De-Silanes, and Andrei Shleifer, 2006, What works in securities laws?, </w:t>
      </w:r>
      <w:r w:rsidRPr="00E57761">
        <w:rPr>
          <w:rFonts w:ascii="Times New Roman" w:hAnsi="Times New Roman" w:cs="Times New Roman"/>
          <w:i/>
          <w:iCs/>
          <w:noProof/>
          <w:szCs w:val="24"/>
        </w:rPr>
        <w:t>Journal of Finance</w:t>
      </w:r>
      <w:r w:rsidRPr="00E57761">
        <w:rPr>
          <w:rFonts w:ascii="Times New Roman" w:hAnsi="Times New Roman" w:cs="Times New Roman"/>
          <w:noProof/>
          <w:szCs w:val="24"/>
        </w:rPr>
        <w:t xml:space="preserve"> 61, 1–32.</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La Porta, Rafael, Florencio Lopez-de-Silanes, Andrei Shleifer, and Robert Vishny, 2002, Investor Protection and Corporate Valuation, </w:t>
      </w:r>
      <w:r w:rsidRPr="00E57761">
        <w:rPr>
          <w:rFonts w:ascii="Times New Roman" w:hAnsi="Times New Roman" w:cs="Times New Roman"/>
          <w:i/>
          <w:iCs/>
          <w:noProof/>
          <w:szCs w:val="24"/>
        </w:rPr>
        <w:t>The Journal of Finance</w:t>
      </w:r>
      <w:r w:rsidRPr="00E57761">
        <w:rPr>
          <w:rFonts w:ascii="Times New Roman" w:hAnsi="Times New Roman" w:cs="Times New Roman"/>
          <w:noProof/>
          <w:szCs w:val="24"/>
        </w:rPr>
        <w:t xml:space="preserve"> 57, 1147–1170.</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La Porta, Rafael, Florencio Lopez-de-SIlanes, Andrei Shleifer, and Robert W Vishny, 1998, Law and Finance Rafael La Porta , Florencio Lopez-de-Silanes , </w:t>
      </w:r>
      <w:r w:rsidRPr="00E57761">
        <w:rPr>
          <w:rFonts w:ascii="Times New Roman" w:hAnsi="Times New Roman" w:cs="Times New Roman"/>
          <w:i/>
          <w:iCs/>
          <w:noProof/>
          <w:szCs w:val="24"/>
        </w:rPr>
        <w:t>Journal of Political Economy</w:t>
      </w:r>
      <w:r w:rsidRPr="00E57761">
        <w:rPr>
          <w:rFonts w:ascii="Times New Roman" w:hAnsi="Times New Roman" w:cs="Times New Roman"/>
          <w:noProof/>
          <w:szCs w:val="24"/>
        </w:rPr>
        <w:t xml:space="preserve"> 106, 11131–55.</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La Porta, Rafael, Florencio Lopez-De-Silanes, Andrei Shleifer, and Robert W. Vishny, 2000, Agency Problems and Dividend Policies Around the World, </w:t>
      </w:r>
      <w:r w:rsidRPr="00E57761">
        <w:rPr>
          <w:rFonts w:ascii="Times New Roman" w:hAnsi="Times New Roman" w:cs="Times New Roman"/>
          <w:i/>
          <w:iCs/>
          <w:noProof/>
          <w:szCs w:val="24"/>
        </w:rPr>
        <w:t>the Journal of Finance</w:t>
      </w:r>
      <w:r w:rsidRPr="00E57761">
        <w:rPr>
          <w:rFonts w:ascii="Times New Roman" w:hAnsi="Times New Roman" w:cs="Times New Roman"/>
          <w:noProof/>
          <w:szCs w:val="24"/>
        </w:rPr>
        <w:t xml:space="preserve"> 55, 1–33.</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Laeven, Luc, 2003, Does Financial Liberalization Reduce Financing Constraints?, </w:t>
      </w:r>
      <w:r w:rsidRPr="00E57761">
        <w:rPr>
          <w:rFonts w:ascii="Times New Roman" w:hAnsi="Times New Roman" w:cs="Times New Roman"/>
          <w:i/>
          <w:iCs/>
          <w:noProof/>
          <w:szCs w:val="24"/>
        </w:rPr>
        <w:t>Financial Management</w:t>
      </w:r>
      <w:r w:rsidRPr="00E57761">
        <w:rPr>
          <w:rFonts w:ascii="Times New Roman" w:hAnsi="Times New Roman" w:cs="Times New Roman"/>
          <w:noProof/>
          <w:szCs w:val="24"/>
        </w:rPr>
        <w:t xml:space="preserve"> 32, 5–34.</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Lamont, Owen, 1997, Cash Flow and Investment: Evidence from Internal Capital Markets, </w:t>
      </w:r>
      <w:r w:rsidRPr="00E57761">
        <w:rPr>
          <w:rFonts w:ascii="Times New Roman" w:hAnsi="Times New Roman" w:cs="Times New Roman"/>
          <w:i/>
          <w:iCs/>
          <w:noProof/>
          <w:szCs w:val="24"/>
        </w:rPr>
        <w:t>the Journal of Finance</w:t>
      </w:r>
      <w:r w:rsidRPr="00E57761">
        <w:rPr>
          <w:rFonts w:ascii="Times New Roman" w:hAnsi="Times New Roman" w:cs="Times New Roman"/>
          <w:noProof/>
          <w:szCs w:val="24"/>
        </w:rPr>
        <w:t xml:space="preserve"> 52, 1–28.</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lastRenderedPageBreak/>
        <w:t xml:space="preserve">Lang, Larry H. P., and Rene M. Stulz, 1994, Tobin’s q, Corporate Diversification, and Firm Performance, </w:t>
      </w:r>
      <w:r w:rsidRPr="00E57761">
        <w:rPr>
          <w:rFonts w:ascii="Times New Roman" w:hAnsi="Times New Roman" w:cs="Times New Roman"/>
          <w:i/>
          <w:iCs/>
          <w:noProof/>
          <w:szCs w:val="24"/>
        </w:rPr>
        <w:t>Journal of Political Economy</w:t>
      </w:r>
      <w:r w:rsidRPr="00E57761">
        <w:rPr>
          <w:rFonts w:ascii="Times New Roman" w:hAnsi="Times New Roman" w:cs="Times New Roman"/>
          <w:noProof/>
          <w:szCs w:val="24"/>
        </w:rPr>
        <w:t xml:space="preserve"> 102, 1248.</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Leuz, Christian, Dhananjay Nanda, and Peter D. Wysocki, 2003, Earnings management and investor protection: An international comparison,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69, 505–527.</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Liebman, Jeffrey B., and Neale Mahoney, 2013, Do Expiring Budgets Lead to Wasteful Year-end Spending? Evidence from Federal Procurement, </w:t>
      </w:r>
      <w:r w:rsidRPr="00E57761">
        <w:rPr>
          <w:rFonts w:ascii="Times New Roman" w:hAnsi="Times New Roman" w:cs="Times New Roman"/>
          <w:i/>
          <w:iCs/>
          <w:noProof/>
          <w:szCs w:val="24"/>
        </w:rPr>
        <w:t>NBER Working Paper 19481</w:t>
      </w:r>
      <w:r w:rsidRPr="00E57761">
        <w:rPr>
          <w:rFonts w:ascii="Times New Roman" w:hAnsi="Times New Roman" w:cs="Times New Roman"/>
          <w:noProof/>
          <w:szCs w:val="24"/>
        </w:rPr>
        <w:t>.</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Love, I., 2003, Financial Development and Financing Constraints: International Evidence from the Structural Investment Model, </w:t>
      </w:r>
      <w:r w:rsidRPr="00E57761">
        <w:rPr>
          <w:rFonts w:ascii="Times New Roman" w:hAnsi="Times New Roman" w:cs="Times New Roman"/>
          <w:i/>
          <w:iCs/>
          <w:noProof/>
          <w:szCs w:val="24"/>
        </w:rPr>
        <w:t>Review of Financial Studies</w:t>
      </w:r>
      <w:r w:rsidRPr="00E57761">
        <w:rPr>
          <w:rFonts w:ascii="Times New Roman" w:hAnsi="Times New Roman" w:cs="Times New Roman"/>
          <w:noProof/>
          <w:szCs w:val="24"/>
        </w:rPr>
        <w:t xml:space="preserve"> 16, 765–791.</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McLean, R David, Tianyu Zhang, and Mengxin Zhao, 2012, Why Does the Law Matter? Investor Protection and Its Effects on Investment, Finance, and Growth, </w:t>
      </w:r>
      <w:r w:rsidRPr="00E57761">
        <w:rPr>
          <w:rFonts w:ascii="Times New Roman" w:hAnsi="Times New Roman" w:cs="Times New Roman"/>
          <w:i/>
          <w:iCs/>
          <w:noProof/>
          <w:szCs w:val="24"/>
        </w:rPr>
        <w:t>The Journal of Finance</w:t>
      </w:r>
      <w:r w:rsidRPr="00E57761">
        <w:rPr>
          <w:rFonts w:ascii="Times New Roman" w:hAnsi="Times New Roman" w:cs="Times New Roman"/>
          <w:noProof/>
          <w:szCs w:val="24"/>
        </w:rPr>
        <w:t xml:space="preserve"> LXVII, 313–350.</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Myers, Stewart C., and Nicholas S. Majluf, 1984, Corporate financing and investment decisions when firms have information that investors do not have,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13, 187–221.</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Oyer, Paul, 1998, Fiscal Year Ends and Nonlinear Incentive Contracts : The Effect on Business Seasonality, </w:t>
      </w:r>
      <w:r w:rsidRPr="00E57761">
        <w:rPr>
          <w:rFonts w:ascii="Times New Roman" w:hAnsi="Times New Roman" w:cs="Times New Roman"/>
          <w:i/>
          <w:iCs/>
          <w:noProof/>
          <w:szCs w:val="24"/>
        </w:rPr>
        <w:t>Quarterly Journal of Economics</w:t>
      </w:r>
      <w:r w:rsidRPr="00E57761">
        <w:rPr>
          <w:rFonts w:ascii="Times New Roman" w:hAnsi="Times New Roman" w:cs="Times New Roman"/>
          <w:noProof/>
          <w:szCs w:val="24"/>
        </w:rPr>
        <w:t xml:space="preserve"> 113, 149–185.</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Ozbas, Oguzhan, 2005, Integration, organizational processes, and allocation of resources,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75, 201–242.</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Ozbas, Oguzhan, and David S. Scharfstein, 2010, Evidence on the dark side of internal capital markets, </w:t>
      </w:r>
      <w:r w:rsidRPr="00E57761">
        <w:rPr>
          <w:rFonts w:ascii="Times New Roman" w:hAnsi="Times New Roman" w:cs="Times New Roman"/>
          <w:i/>
          <w:iCs/>
          <w:noProof/>
          <w:szCs w:val="24"/>
        </w:rPr>
        <w:t>Review of Financial Studies</w:t>
      </w:r>
      <w:r w:rsidRPr="00E57761">
        <w:rPr>
          <w:rFonts w:ascii="Times New Roman" w:hAnsi="Times New Roman" w:cs="Times New Roman"/>
          <w:noProof/>
          <w:szCs w:val="24"/>
        </w:rPr>
        <w:t xml:space="preserve"> 23, 581–599.</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Ozbas, Oguzhan, and Zekiye A Selvili, 2009, Organizational Scope and Allocation of Resources : Evidence on Rigid Capital Budgets, </w:t>
      </w:r>
      <w:r w:rsidRPr="00E57761">
        <w:rPr>
          <w:rFonts w:ascii="Times New Roman" w:hAnsi="Times New Roman" w:cs="Times New Roman"/>
          <w:i/>
          <w:iCs/>
          <w:noProof/>
          <w:szCs w:val="24"/>
        </w:rPr>
        <w:t>Working Paper</w:t>
      </w:r>
      <w:r w:rsidRPr="00E57761">
        <w:rPr>
          <w:rFonts w:ascii="Times New Roman" w:hAnsi="Times New Roman" w:cs="Times New Roman"/>
          <w:noProof/>
          <w:szCs w:val="24"/>
        </w:rPr>
        <w:t>.</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Rajan, Raghuram G., and Luigi Zingales, 1998, Financial Dependence and Growth, </w:t>
      </w:r>
      <w:r w:rsidRPr="00E57761">
        <w:rPr>
          <w:rFonts w:ascii="Times New Roman" w:hAnsi="Times New Roman" w:cs="Times New Roman"/>
          <w:i/>
          <w:iCs/>
          <w:noProof/>
          <w:szCs w:val="24"/>
        </w:rPr>
        <w:t>American Economic Review</w:t>
      </w:r>
      <w:r w:rsidRPr="00E57761">
        <w:rPr>
          <w:rFonts w:ascii="Times New Roman" w:hAnsi="Times New Roman" w:cs="Times New Roman"/>
          <w:noProof/>
          <w:szCs w:val="24"/>
        </w:rPr>
        <w:t xml:space="preserve"> 88, 559–586.</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Rajan, R, H Servaes, and L Zingales, 2000, The Cost of Diversity: The Diversification Discount and Inefficient Investment, </w:t>
      </w:r>
      <w:r w:rsidRPr="00E57761">
        <w:rPr>
          <w:rFonts w:ascii="Times New Roman" w:hAnsi="Times New Roman" w:cs="Times New Roman"/>
          <w:i/>
          <w:iCs/>
          <w:noProof/>
          <w:szCs w:val="24"/>
        </w:rPr>
        <w:t>The Journal of Finance</w:t>
      </w:r>
      <w:r w:rsidRPr="00E57761">
        <w:rPr>
          <w:rFonts w:ascii="Times New Roman" w:hAnsi="Times New Roman" w:cs="Times New Roman"/>
          <w:noProof/>
          <w:szCs w:val="24"/>
        </w:rPr>
        <w:t xml:space="preserve"> 55, 35–80.</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Roychowdhury, Sugata, 2006, Earnings management through real activities manipulation, </w:t>
      </w:r>
      <w:r w:rsidRPr="00E57761">
        <w:rPr>
          <w:rFonts w:ascii="Times New Roman" w:hAnsi="Times New Roman" w:cs="Times New Roman"/>
          <w:i/>
          <w:iCs/>
          <w:noProof/>
          <w:szCs w:val="24"/>
        </w:rPr>
        <w:t>Journal of Accounting and Economics</w:t>
      </w:r>
      <w:r w:rsidRPr="00E57761">
        <w:rPr>
          <w:rFonts w:ascii="Times New Roman" w:hAnsi="Times New Roman" w:cs="Times New Roman"/>
          <w:noProof/>
          <w:szCs w:val="24"/>
        </w:rPr>
        <w:t xml:space="preserve"> 42, 335–370.</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Scharfstein, David S, and Jeremy C Stein, 2000, The Dark Side of Internal Capital Markets: Divisional Rent-Seeking and Inefficient Investment, </w:t>
      </w:r>
      <w:r w:rsidRPr="00E57761">
        <w:rPr>
          <w:rFonts w:ascii="Times New Roman" w:hAnsi="Times New Roman" w:cs="Times New Roman"/>
          <w:i/>
          <w:iCs/>
          <w:noProof/>
          <w:szCs w:val="24"/>
        </w:rPr>
        <w:t>The Journal of Finance</w:t>
      </w:r>
      <w:r w:rsidRPr="00E57761">
        <w:rPr>
          <w:rFonts w:ascii="Times New Roman" w:hAnsi="Times New Roman" w:cs="Times New Roman"/>
          <w:noProof/>
          <w:szCs w:val="24"/>
        </w:rPr>
        <w:t xml:space="preserve"> 55, 2537–2564.</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Shin, Hyun-Han, and Yong H. Kim, 2002, Agency costs and efficiency of business capital investment: Evidence from quarterly capital expenditures, </w:t>
      </w:r>
      <w:r w:rsidRPr="00E57761">
        <w:rPr>
          <w:rFonts w:ascii="Times New Roman" w:hAnsi="Times New Roman" w:cs="Times New Roman"/>
          <w:i/>
          <w:iCs/>
          <w:noProof/>
          <w:szCs w:val="24"/>
        </w:rPr>
        <w:t>Journal of Corporate Finance</w:t>
      </w:r>
      <w:r w:rsidRPr="00E57761">
        <w:rPr>
          <w:rFonts w:ascii="Times New Roman" w:hAnsi="Times New Roman" w:cs="Times New Roman"/>
          <w:noProof/>
          <w:szCs w:val="24"/>
        </w:rPr>
        <w:t xml:space="preserve"> 8, 139–158.</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Shin, Hyun-Han, and Rene Stulz, 1998, Are internal capital markets efficient?, </w:t>
      </w:r>
      <w:r w:rsidRPr="00E57761">
        <w:rPr>
          <w:rFonts w:ascii="Times New Roman" w:hAnsi="Times New Roman" w:cs="Times New Roman"/>
          <w:i/>
          <w:iCs/>
          <w:noProof/>
          <w:szCs w:val="24"/>
        </w:rPr>
        <w:t>Quarterly Journal of Economics</w:t>
      </w:r>
      <w:r w:rsidRPr="00E57761">
        <w:rPr>
          <w:rFonts w:ascii="Times New Roman" w:hAnsi="Times New Roman" w:cs="Times New Roman"/>
          <w:noProof/>
          <w:szCs w:val="24"/>
        </w:rPr>
        <w:t xml:space="preserve"> 113, 531–552.</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szCs w:val="24"/>
        </w:rPr>
      </w:pPr>
      <w:r w:rsidRPr="00E57761">
        <w:rPr>
          <w:rFonts w:ascii="Times New Roman" w:hAnsi="Times New Roman" w:cs="Times New Roman"/>
          <w:noProof/>
          <w:szCs w:val="24"/>
        </w:rPr>
        <w:t xml:space="preserve">Wurgler, Jeffrey, 2000, Financial markets and the allocation of capital, </w:t>
      </w:r>
      <w:r w:rsidRPr="00E57761">
        <w:rPr>
          <w:rFonts w:ascii="Times New Roman" w:hAnsi="Times New Roman" w:cs="Times New Roman"/>
          <w:i/>
          <w:iCs/>
          <w:noProof/>
          <w:szCs w:val="24"/>
        </w:rPr>
        <w:t>Journal of Financial Economics</w:t>
      </w:r>
      <w:r w:rsidRPr="00E57761">
        <w:rPr>
          <w:rFonts w:ascii="Times New Roman" w:hAnsi="Times New Roman" w:cs="Times New Roman"/>
          <w:noProof/>
          <w:szCs w:val="24"/>
        </w:rPr>
        <w:t xml:space="preserve"> 58, 187–214.</w:t>
      </w:r>
    </w:p>
    <w:p w:rsidR="00E57761" w:rsidRPr="00E57761" w:rsidRDefault="00E57761" w:rsidP="00E57761">
      <w:pPr>
        <w:widowControl w:val="0"/>
        <w:autoSpaceDE w:val="0"/>
        <w:autoSpaceDN w:val="0"/>
        <w:adjustRightInd w:val="0"/>
        <w:spacing w:after="120" w:line="240" w:lineRule="auto"/>
        <w:rPr>
          <w:rFonts w:ascii="Times New Roman" w:hAnsi="Times New Roman" w:cs="Times New Roman"/>
          <w:noProof/>
        </w:rPr>
      </w:pPr>
      <w:r w:rsidRPr="00E57761">
        <w:rPr>
          <w:rFonts w:ascii="Times New Roman" w:hAnsi="Times New Roman" w:cs="Times New Roman"/>
          <w:noProof/>
          <w:szCs w:val="24"/>
        </w:rPr>
        <w:t xml:space="preserve">Xuan, Yuhai, 2009, Empire-building or bridge-building evidence from new CEOs’ internal capital allocation decisions, </w:t>
      </w:r>
      <w:r w:rsidRPr="00E57761">
        <w:rPr>
          <w:rFonts w:ascii="Times New Roman" w:hAnsi="Times New Roman" w:cs="Times New Roman"/>
          <w:i/>
          <w:iCs/>
          <w:noProof/>
          <w:szCs w:val="24"/>
        </w:rPr>
        <w:t>Review of Financial Studies</w:t>
      </w:r>
      <w:r w:rsidRPr="00E57761">
        <w:rPr>
          <w:rFonts w:ascii="Times New Roman" w:hAnsi="Times New Roman" w:cs="Times New Roman"/>
          <w:noProof/>
          <w:szCs w:val="24"/>
        </w:rPr>
        <w:t xml:space="preserve"> 22, 4919–4948.</w:t>
      </w:r>
    </w:p>
    <w:p w:rsidR="00ED5C44" w:rsidRPr="00667DCA" w:rsidRDefault="00C462AD" w:rsidP="00E57761">
      <w:pPr>
        <w:widowControl w:val="0"/>
        <w:autoSpaceDE w:val="0"/>
        <w:autoSpaceDN w:val="0"/>
        <w:adjustRightInd w:val="0"/>
        <w:spacing w:after="120" w:line="240" w:lineRule="auto"/>
        <w:rPr>
          <w:rFonts w:ascii="Times New Roman" w:hAnsi="Times New Roman" w:cs="Times New Roman"/>
          <w:b/>
          <w:sz w:val="24"/>
          <w:szCs w:val="24"/>
        </w:rPr>
        <w:sectPr w:rsidR="00ED5C44" w:rsidRPr="00667DCA" w:rsidSect="003465DB">
          <w:footerReference w:type="default" r:id="rId12"/>
          <w:pgSz w:w="12240" w:h="15840"/>
          <w:pgMar w:top="1440" w:right="1440" w:bottom="1260" w:left="1440" w:header="720" w:footer="720" w:gutter="0"/>
          <w:cols w:space="720"/>
          <w:docGrid w:linePitch="360"/>
        </w:sectPr>
      </w:pPr>
      <w:r w:rsidRPr="00EE1141">
        <w:rPr>
          <w:rFonts w:ascii="Times New Roman" w:hAnsi="Times New Roman" w:cs="Times New Roman"/>
        </w:rPr>
        <w:fldChar w:fldCharType="end"/>
      </w:r>
    </w:p>
    <w:p w:rsidR="00E714E0" w:rsidRDefault="00E714E0" w:rsidP="00E714E0">
      <w:pPr>
        <w:spacing w:after="120" w:line="240" w:lineRule="auto"/>
        <w:rPr>
          <w:rFonts w:ascii="Times New Roman" w:hAnsi="Times New Roman" w:cs="Times New Roman"/>
          <w:b/>
          <w:sz w:val="20"/>
        </w:rPr>
      </w:pPr>
      <w:r>
        <w:rPr>
          <w:rFonts w:ascii="Times New Roman" w:hAnsi="Times New Roman" w:cs="Times New Roman"/>
          <w:b/>
          <w:sz w:val="20"/>
        </w:rPr>
        <w:lastRenderedPageBreak/>
        <w:t>Figure</w:t>
      </w:r>
      <w:r w:rsidRPr="00EE1141">
        <w:rPr>
          <w:rFonts w:ascii="Times New Roman" w:hAnsi="Times New Roman" w:cs="Times New Roman"/>
          <w:b/>
          <w:sz w:val="20"/>
        </w:rPr>
        <w:t xml:space="preserve"> 1</w:t>
      </w:r>
      <w:r w:rsidR="00306FC6">
        <w:rPr>
          <w:rFonts w:ascii="Times New Roman" w:hAnsi="Times New Roman" w:cs="Times New Roman"/>
          <w:b/>
          <w:sz w:val="20"/>
        </w:rPr>
        <w:t>:</w:t>
      </w:r>
      <w:r w:rsidR="00CC7416">
        <w:rPr>
          <w:rFonts w:ascii="Times New Roman" w:hAnsi="Times New Roman" w:cs="Times New Roman"/>
          <w:b/>
          <w:sz w:val="20"/>
        </w:rPr>
        <w:t xml:space="preserve"> “Fourth </w:t>
      </w:r>
      <w:r w:rsidR="00306FC6">
        <w:rPr>
          <w:rFonts w:ascii="Times New Roman" w:hAnsi="Times New Roman" w:cs="Times New Roman"/>
          <w:b/>
          <w:sz w:val="20"/>
        </w:rPr>
        <w:t>Q</w:t>
      </w:r>
      <w:r w:rsidR="00CC7416">
        <w:rPr>
          <w:rFonts w:ascii="Times New Roman" w:hAnsi="Times New Roman" w:cs="Times New Roman"/>
          <w:b/>
          <w:sz w:val="20"/>
        </w:rPr>
        <w:t xml:space="preserve">uarter </w:t>
      </w:r>
      <w:r w:rsidR="00306FC6">
        <w:rPr>
          <w:rFonts w:ascii="Times New Roman" w:hAnsi="Times New Roman" w:cs="Times New Roman"/>
          <w:b/>
          <w:sz w:val="20"/>
        </w:rPr>
        <w:t>E</w:t>
      </w:r>
      <w:r w:rsidR="00CC7416">
        <w:rPr>
          <w:rFonts w:ascii="Times New Roman" w:hAnsi="Times New Roman" w:cs="Times New Roman"/>
          <w:b/>
          <w:sz w:val="20"/>
        </w:rPr>
        <w:t xml:space="preserve">ffect” </w:t>
      </w:r>
      <w:r w:rsidR="006E1769" w:rsidRPr="006E1769">
        <w:rPr>
          <w:rFonts w:ascii="Times New Roman" w:hAnsi="Times New Roman" w:cs="Times New Roman"/>
          <w:b/>
          <w:sz w:val="20"/>
        </w:rPr>
        <w:t xml:space="preserve">across </w:t>
      </w:r>
      <w:r w:rsidR="00306FC6">
        <w:rPr>
          <w:rFonts w:ascii="Times New Roman" w:hAnsi="Times New Roman" w:cs="Times New Roman"/>
          <w:b/>
          <w:sz w:val="20"/>
        </w:rPr>
        <w:t>C</w:t>
      </w:r>
      <w:r w:rsidR="006E1769" w:rsidRPr="006E1769">
        <w:rPr>
          <w:rFonts w:ascii="Times New Roman" w:hAnsi="Times New Roman" w:cs="Times New Roman"/>
          <w:b/>
          <w:sz w:val="20"/>
        </w:rPr>
        <w:t>ountries</w:t>
      </w:r>
      <w:r w:rsidR="006E1769">
        <w:rPr>
          <w:rFonts w:ascii="Times New Roman" w:hAnsi="Times New Roman" w:cs="Times New Roman"/>
          <w:b/>
          <w:sz w:val="20"/>
        </w:rPr>
        <w:t>.</w:t>
      </w:r>
    </w:p>
    <w:p w:rsidR="00CC7416" w:rsidRPr="00877DD5" w:rsidRDefault="00CC7416" w:rsidP="00CC7416">
      <w:pPr>
        <w:spacing w:after="120" w:line="240" w:lineRule="auto"/>
        <w:jc w:val="both"/>
        <w:rPr>
          <w:rFonts w:ascii="Times New Roman" w:hAnsi="Times New Roman" w:cs="Times New Roman"/>
          <w:sz w:val="20"/>
        </w:rPr>
      </w:pPr>
      <w:r w:rsidRPr="00B01629">
        <w:rPr>
          <w:rFonts w:ascii="Times New Roman" w:hAnsi="Times New Roman" w:cs="Times New Roman"/>
          <w:sz w:val="16"/>
        </w:rPr>
        <w:t>This figure presents the equal- and value-weighted average of proportion of firms’ annual investment in their fourth fiscal quarters in our pooled sample.</w:t>
      </w:r>
      <w:r>
        <w:rPr>
          <w:rFonts w:ascii="Times New Roman" w:hAnsi="Times New Roman" w:cs="Times New Roman"/>
          <w:sz w:val="20"/>
        </w:rPr>
        <w:t xml:space="preserve"> </w:t>
      </w:r>
    </w:p>
    <w:p w:rsidR="00E714E0" w:rsidRPr="00EE1141" w:rsidRDefault="00877DD5" w:rsidP="00E714E0">
      <w:pPr>
        <w:spacing w:after="120" w:line="240" w:lineRule="auto"/>
        <w:rPr>
          <w:rFonts w:ascii="Times New Roman" w:hAnsi="Times New Roman" w:cs="Times New Roman"/>
          <w:b/>
          <w:sz w:val="20"/>
        </w:rPr>
      </w:pPr>
      <w:r w:rsidRPr="00E714E0">
        <w:rPr>
          <w:rFonts w:ascii="Times New Roman" w:hAnsi="Times New Roman" w:cs="Times New Roman"/>
          <w:b/>
          <w:noProof/>
          <w:sz w:val="20"/>
          <w:lang w:eastAsia="ko-KR"/>
        </w:rPr>
        <mc:AlternateContent>
          <mc:Choice Requires="wps">
            <w:drawing>
              <wp:anchor distT="0" distB="0" distL="114300" distR="114300" simplePos="0" relativeHeight="251661312" behindDoc="0" locked="0" layoutInCell="1" allowOverlap="1" wp14:anchorId="28BBD218" wp14:editId="4877984B">
                <wp:simplePos x="0" y="0"/>
                <wp:positionH relativeFrom="column">
                  <wp:posOffset>374650</wp:posOffset>
                </wp:positionH>
                <wp:positionV relativeFrom="paragraph">
                  <wp:posOffset>1054100</wp:posOffset>
                </wp:positionV>
                <wp:extent cx="3816350" cy="0"/>
                <wp:effectExtent l="0" t="19050" r="12700" b="19050"/>
                <wp:wrapNone/>
                <wp:docPr id="8" name="Straight Connector 7"/>
                <wp:cNvGraphicFramePr/>
                <a:graphic xmlns:a="http://schemas.openxmlformats.org/drawingml/2006/main">
                  <a:graphicData uri="http://schemas.microsoft.com/office/word/2010/wordprocessingShape">
                    <wps:wsp>
                      <wps:cNvCnPr/>
                      <wps:spPr>
                        <a:xfrm>
                          <a:off x="0" y="0"/>
                          <a:ext cx="3816350" cy="0"/>
                        </a:xfrm>
                        <a:prstGeom prst="line">
                          <a:avLst/>
                        </a:prstGeom>
                        <a:ln w="381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DD4EB86"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83pt" to="33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" strokecolor="#404040 [2429]" strokeweight="3pt"/>
            </w:pict>
          </mc:Fallback>
        </mc:AlternateContent>
      </w:r>
      <w:r>
        <w:rPr>
          <w:noProof/>
          <w:lang w:eastAsia="ko-KR"/>
        </w:rPr>
        <mc:AlternateContent>
          <mc:Choice Requires="wps">
            <w:drawing>
              <wp:anchor distT="0" distB="0" distL="114300" distR="114300" simplePos="0" relativeHeight="251659264" behindDoc="0" locked="0" layoutInCell="1" allowOverlap="1" wp14:anchorId="2F1A4A37" wp14:editId="1E9DF913">
                <wp:simplePos x="0" y="0"/>
                <wp:positionH relativeFrom="column">
                  <wp:posOffset>2711450</wp:posOffset>
                </wp:positionH>
                <wp:positionV relativeFrom="paragraph">
                  <wp:posOffset>2006600</wp:posOffset>
                </wp:positionV>
                <wp:extent cx="1149350" cy="266700"/>
                <wp:effectExtent l="0" t="0" r="0" b="0"/>
                <wp:wrapNone/>
                <wp:docPr id="2" name="Text Box 1"/>
                <wp:cNvGraphicFramePr/>
                <a:graphic xmlns:a="http://schemas.openxmlformats.org/drawingml/2006/main">
                  <a:graphicData uri="http://schemas.microsoft.com/office/word/2010/wordprocessingShape">
                    <wps:wsp>
                      <wps:cNvSpPr txBox="1"/>
                      <wps:spPr>
                        <a:xfrm>
                          <a:off x="0" y="0"/>
                          <a:ext cx="1149350" cy="266700"/>
                        </a:xfrm>
                        <a:prstGeom prst="rect">
                          <a:avLst/>
                        </a:prstGeom>
                      </wps:spPr>
                      <wps:txbx>
                        <w:txbxContent>
                          <w:p w:rsidR="00F66B3C" w:rsidRDefault="00F66B3C" w:rsidP="00E714E0">
                            <w:pPr>
                              <w:pStyle w:val="af3"/>
                              <w:spacing w:before="0" w:beforeAutospacing="0" w:after="0" w:afterAutospacing="0"/>
                              <w:jc w:val="center"/>
                            </w:pPr>
                            <w:r>
                              <w:rPr>
                                <w:sz w:val="18"/>
                                <w:szCs w:val="18"/>
                              </w:rPr>
                              <w:t>Value-weighted</w:t>
                            </w:r>
                          </w:p>
                        </w:txbxContent>
                      </wps:txbx>
                      <wps:bodyPr vertOverflow="clip" wrap="square" rtlCol="0">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2F1A4A37" id="_x0000_t202" coordsize="21600,21600" o:spt="202" path="m,l,21600r21600,l21600,xe">
                <v:stroke joinstyle="miter"/>
                <v:path gradientshapeok="t" o:connecttype="rect"/>
              </v:shapetype>
              <v:shape id="Text Box 1" o:spid="_x0000_s1026" type="#_x0000_t202" style="position:absolute;margin-left:213.5pt;margin-top:158pt;width:90.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" filled="f" stroked="f">
                <v:textbox>
                  <w:txbxContent>
                    <w:p w:rsidR="00F66B3C" w:rsidRDefault="00F66B3C" w:rsidP="00E714E0">
                      <w:pPr>
                        <w:pStyle w:val="NormalWeb"/>
                        <w:spacing w:before="0" w:beforeAutospacing="0" w:after="0" w:afterAutospacing="0"/>
                        <w:jc w:val="center"/>
                      </w:pPr>
                      <w:r>
                        <w:rPr>
                          <w:sz w:val="18"/>
                          <w:szCs w:val="18"/>
                        </w:rPr>
                        <w:t>Value-weighted</w:t>
                      </w:r>
                    </w:p>
                  </w:txbxContent>
                </v:textbox>
              </v:shape>
            </w:pict>
          </mc:Fallback>
        </mc:AlternateContent>
      </w:r>
      <w:r w:rsidR="00E714E0" w:rsidRPr="00E714E0">
        <w:rPr>
          <w:rFonts w:ascii="Times New Roman" w:hAnsi="Times New Roman" w:cs="Times New Roman"/>
          <w:b/>
          <w:noProof/>
          <w:sz w:val="20"/>
          <w:lang w:eastAsia="ko-KR"/>
        </w:rPr>
        <w:drawing>
          <wp:inline distT="0" distB="0" distL="0" distR="0" wp14:anchorId="2D690041" wp14:editId="303B99DA">
            <wp:extent cx="4248150" cy="220345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7416" w:rsidRDefault="00CC7416">
      <w:pPr>
        <w:rPr>
          <w:rFonts w:ascii="Times New Roman" w:hAnsi="Times New Roman" w:cs="Times New Roman"/>
          <w:b/>
          <w:sz w:val="20"/>
        </w:rPr>
      </w:pPr>
    </w:p>
    <w:p w:rsidR="00877DD5" w:rsidRDefault="00877DD5" w:rsidP="00877DD5">
      <w:pPr>
        <w:spacing w:after="120" w:line="240" w:lineRule="auto"/>
        <w:rPr>
          <w:rFonts w:ascii="Times New Roman" w:hAnsi="Times New Roman" w:cs="Times New Roman"/>
          <w:b/>
          <w:sz w:val="20"/>
        </w:rPr>
      </w:pPr>
      <w:r>
        <w:rPr>
          <w:rFonts w:ascii="Times New Roman" w:hAnsi="Times New Roman" w:cs="Times New Roman"/>
          <w:b/>
          <w:sz w:val="20"/>
        </w:rPr>
        <w:t>Figure</w:t>
      </w:r>
      <w:r w:rsidRPr="00EE1141">
        <w:rPr>
          <w:rFonts w:ascii="Times New Roman" w:hAnsi="Times New Roman" w:cs="Times New Roman"/>
          <w:b/>
          <w:sz w:val="20"/>
        </w:rPr>
        <w:t xml:space="preserve"> </w:t>
      </w:r>
      <w:r>
        <w:rPr>
          <w:rFonts w:ascii="Times New Roman" w:hAnsi="Times New Roman" w:cs="Times New Roman"/>
          <w:b/>
          <w:sz w:val="20"/>
        </w:rPr>
        <w:t>2</w:t>
      </w:r>
      <w:r w:rsidR="00306FC6">
        <w:rPr>
          <w:rFonts w:ascii="Times New Roman" w:hAnsi="Times New Roman" w:cs="Times New Roman"/>
          <w:b/>
          <w:sz w:val="20"/>
        </w:rPr>
        <w:t>:</w:t>
      </w:r>
      <w:r w:rsidR="00CC7416">
        <w:rPr>
          <w:rFonts w:ascii="Times New Roman" w:hAnsi="Times New Roman" w:cs="Times New Roman"/>
          <w:b/>
          <w:sz w:val="20"/>
        </w:rPr>
        <w:t xml:space="preserve"> “Fourth </w:t>
      </w:r>
      <w:r w:rsidR="00306FC6">
        <w:rPr>
          <w:rFonts w:ascii="Times New Roman" w:hAnsi="Times New Roman" w:cs="Times New Roman"/>
          <w:b/>
          <w:sz w:val="20"/>
        </w:rPr>
        <w:t>Q</w:t>
      </w:r>
      <w:r w:rsidR="00CC7416">
        <w:rPr>
          <w:rFonts w:ascii="Times New Roman" w:hAnsi="Times New Roman" w:cs="Times New Roman"/>
          <w:b/>
          <w:sz w:val="20"/>
        </w:rPr>
        <w:t xml:space="preserve">uarter </w:t>
      </w:r>
      <w:r w:rsidR="00306FC6">
        <w:rPr>
          <w:rFonts w:ascii="Times New Roman" w:hAnsi="Times New Roman" w:cs="Times New Roman"/>
          <w:b/>
          <w:sz w:val="20"/>
        </w:rPr>
        <w:t>E</w:t>
      </w:r>
      <w:r w:rsidR="00CC7416">
        <w:rPr>
          <w:rFonts w:ascii="Times New Roman" w:hAnsi="Times New Roman" w:cs="Times New Roman"/>
          <w:b/>
          <w:sz w:val="20"/>
        </w:rPr>
        <w:t xml:space="preserve">ffect” </w:t>
      </w:r>
      <w:r w:rsidR="006E1769" w:rsidRPr="006E1769">
        <w:rPr>
          <w:rFonts w:ascii="Times New Roman" w:hAnsi="Times New Roman" w:cs="Times New Roman"/>
          <w:b/>
          <w:sz w:val="20"/>
        </w:rPr>
        <w:t xml:space="preserve">across </w:t>
      </w:r>
      <w:r w:rsidR="00306FC6">
        <w:rPr>
          <w:rFonts w:ascii="Times New Roman" w:hAnsi="Times New Roman" w:cs="Times New Roman"/>
          <w:b/>
          <w:sz w:val="20"/>
        </w:rPr>
        <w:t>D</w:t>
      </w:r>
      <w:r w:rsidR="006E1769" w:rsidRPr="006E1769">
        <w:rPr>
          <w:rFonts w:ascii="Times New Roman" w:hAnsi="Times New Roman" w:cs="Times New Roman"/>
          <w:b/>
          <w:sz w:val="20"/>
        </w:rPr>
        <w:t xml:space="preserve">ifferent </w:t>
      </w:r>
      <w:r w:rsidR="00306FC6">
        <w:rPr>
          <w:rFonts w:ascii="Times New Roman" w:hAnsi="Times New Roman" w:cs="Times New Roman"/>
          <w:b/>
          <w:sz w:val="20"/>
        </w:rPr>
        <w:t>C</w:t>
      </w:r>
      <w:r w:rsidR="006E1769" w:rsidRPr="006E1769">
        <w:rPr>
          <w:rFonts w:ascii="Times New Roman" w:hAnsi="Times New Roman" w:cs="Times New Roman"/>
          <w:b/>
          <w:sz w:val="20"/>
        </w:rPr>
        <w:t xml:space="preserve">ountry </w:t>
      </w:r>
      <w:r w:rsidR="00306FC6">
        <w:rPr>
          <w:rFonts w:ascii="Times New Roman" w:hAnsi="Times New Roman" w:cs="Times New Roman"/>
          <w:b/>
          <w:sz w:val="20"/>
        </w:rPr>
        <w:t>C</w:t>
      </w:r>
      <w:r w:rsidR="006E1769" w:rsidRPr="006E1769">
        <w:rPr>
          <w:rFonts w:ascii="Times New Roman" w:hAnsi="Times New Roman" w:cs="Times New Roman"/>
          <w:b/>
          <w:sz w:val="20"/>
        </w:rPr>
        <w:t>haracteristics</w:t>
      </w:r>
      <w:r w:rsidR="006E1769">
        <w:rPr>
          <w:rFonts w:ascii="Times New Roman" w:hAnsi="Times New Roman" w:cs="Times New Roman"/>
          <w:b/>
          <w:sz w:val="20"/>
        </w:rPr>
        <w:t>.</w:t>
      </w:r>
    </w:p>
    <w:p w:rsidR="00877DD5" w:rsidRPr="00B01629" w:rsidRDefault="00CC7416" w:rsidP="00CC7416">
      <w:pPr>
        <w:spacing w:after="120" w:line="240" w:lineRule="auto"/>
        <w:jc w:val="both"/>
        <w:rPr>
          <w:rFonts w:ascii="Times New Roman" w:hAnsi="Times New Roman" w:cs="Times New Roman"/>
          <w:sz w:val="16"/>
          <w:szCs w:val="16"/>
        </w:rPr>
      </w:pPr>
      <w:r w:rsidRPr="00B01629">
        <w:rPr>
          <w:rFonts w:ascii="Times New Roman" w:hAnsi="Times New Roman" w:cs="Times New Roman"/>
          <w:sz w:val="16"/>
          <w:szCs w:val="16"/>
        </w:rPr>
        <w:t xml:space="preserve">This figure presents the value-weighted average of proportion of firms’ annual investment in their fourth fiscal quarters across different country characteristics. </w:t>
      </w:r>
      <w:r w:rsidR="00D745F9" w:rsidRPr="00B01629">
        <w:rPr>
          <w:rFonts w:ascii="Times New Roman" w:hAnsi="Times New Roman" w:cs="Times New Roman"/>
          <w:sz w:val="16"/>
          <w:szCs w:val="16"/>
        </w:rPr>
        <w:t>Results based on equal-weighted averages are qualitatively similar.</w:t>
      </w:r>
      <w:r w:rsidR="00D745F9">
        <w:rPr>
          <w:rFonts w:ascii="Times New Roman" w:hAnsi="Times New Roman" w:cs="Times New Roman"/>
          <w:sz w:val="16"/>
          <w:szCs w:val="16"/>
        </w:rPr>
        <w:t xml:space="preserve"> </w:t>
      </w:r>
      <w:r w:rsidR="00B01629" w:rsidRPr="00B01629">
        <w:rPr>
          <w:rFonts w:ascii="Times New Roman" w:hAnsi="Times New Roman" w:cs="Times New Roman"/>
          <w:sz w:val="16"/>
          <w:szCs w:val="16"/>
        </w:rPr>
        <w:t xml:space="preserve">We divide our full sample into two subsamples based on whether a country’s legal origin is English Common law, and three subsamples based on tertiles of other country characteristics that are used to measure investor rights and protection as well </w:t>
      </w:r>
      <w:r w:rsidR="00815311">
        <w:rPr>
          <w:rFonts w:ascii="Times New Roman" w:hAnsi="Times New Roman" w:cs="Times New Roman"/>
          <w:sz w:val="16"/>
          <w:szCs w:val="16"/>
        </w:rPr>
        <w:t xml:space="preserve">as financial market development. These characteristics are </w:t>
      </w:r>
      <w:r w:rsidR="00B01629" w:rsidRPr="00B01629">
        <w:rPr>
          <w:rFonts w:ascii="Times New Roman" w:hAnsi="Times New Roman" w:cs="Times New Roman"/>
          <w:sz w:val="16"/>
          <w:szCs w:val="16"/>
        </w:rPr>
        <w:t xml:space="preserve">described in section 3.1. </w:t>
      </w:r>
      <w:r w:rsidR="00B01629">
        <w:rPr>
          <w:rFonts w:ascii="Times New Roman" w:hAnsi="Times New Roman" w:cs="Times New Roman"/>
          <w:sz w:val="16"/>
          <w:szCs w:val="16"/>
        </w:rPr>
        <w:t xml:space="preserve">In the third graph in the first row, </w:t>
      </w:r>
      <w:r w:rsidR="00D745F9">
        <w:rPr>
          <w:rFonts w:ascii="Times New Roman" w:hAnsi="Times New Roman" w:cs="Times New Roman"/>
          <w:sz w:val="16"/>
          <w:szCs w:val="16"/>
        </w:rPr>
        <w:t xml:space="preserve">group </w:t>
      </w:r>
      <w:r w:rsidR="00B01629">
        <w:rPr>
          <w:rFonts w:ascii="Times New Roman" w:hAnsi="Times New Roman" w:cs="Times New Roman"/>
          <w:sz w:val="16"/>
          <w:szCs w:val="16"/>
        </w:rPr>
        <w:t>0</w:t>
      </w:r>
      <w:r w:rsidR="00D745F9">
        <w:rPr>
          <w:rFonts w:ascii="Times New Roman" w:hAnsi="Times New Roman" w:cs="Times New Roman"/>
          <w:sz w:val="16"/>
          <w:szCs w:val="16"/>
        </w:rPr>
        <w:t xml:space="preserve"> and 1 represent</w:t>
      </w:r>
      <w:r w:rsidR="00B01629">
        <w:rPr>
          <w:rFonts w:ascii="Times New Roman" w:hAnsi="Times New Roman" w:cs="Times New Roman"/>
          <w:sz w:val="16"/>
          <w:szCs w:val="16"/>
        </w:rPr>
        <w:t xml:space="preserve"> </w:t>
      </w:r>
      <w:r w:rsidR="00D745F9">
        <w:rPr>
          <w:rFonts w:ascii="Times New Roman" w:hAnsi="Times New Roman" w:cs="Times New Roman"/>
          <w:sz w:val="16"/>
          <w:szCs w:val="16"/>
        </w:rPr>
        <w:t xml:space="preserve">Civil Law and Common Law system, respectively. For the other </w:t>
      </w:r>
      <w:r w:rsidR="00B01629" w:rsidRPr="00B01629">
        <w:rPr>
          <w:rFonts w:ascii="Times New Roman" w:hAnsi="Times New Roman" w:cs="Times New Roman"/>
          <w:sz w:val="16"/>
          <w:szCs w:val="16"/>
        </w:rPr>
        <w:t>characteristics except for earnings management, a higher number is associated with stronger investor rights and protection or more developed financial market. For example, in the first graph</w:t>
      </w:r>
      <w:r w:rsidR="00D745F9">
        <w:rPr>
          <w:rFonts w:ascii="Times New Roman" w:hAnsi="Times New Roman" w:cs="Times New Roman"/>
          <w:sz w:val="16"/>
          <w:szCs w:val="16"/>
        </w:rPr>
        <w:t xml:space="preserve"> in the first row</w:t>
      </w:r>
      <w:r w:rsidR="00B01629" w:rsidRPr="00B01629">
        <w:rPr>
          <w:rFonts w:ascii="Times New Roman" w:hAnsi="Times New Roman" w:cs="Times New Roman"/>
          <w:sz w:val="16"/>
          <w:szCs w:val="16"/>
        </w:rPr>
        <w:t>, group 1 (3) represents firms in countries with the lowest (highest)</w:t>
      </w:r>
      <w:r w:rsidR="00D745F9">
        <w:rPr>
          <w:rFonts w:ascii="Times New Roman" w:hAnsi="Times New Roman" w:cs="Times New Roman"/>
          <w:sz w:val="16"/>
          <w:szCs w:val="16"/>
        </w:rPr>
        <w:t xml:space="preserve"> anti-director index</w:t>
      </w:r>
      <w:r w:rsidR="00B01629" w:rsidRPr="00B01629">
        <w:rPr>
          <w:rFonts w:ascii="Times New Roman" w:hAnsi="Times New Roman" w:cs="Times New Roman"/>
          <w:sz w:val="16"/>
          <w:szCs w:val="16"/>
        </w:rPr>
        <w:t>. In the next graph, group 1 (3) represents firms in countries with the lowest (highest)</w:t>
      </w:r>
      <w:r w:rsidR="00D745F9" w:rsidRPr="00D745F9">
        <w:rPr>
          <w:rFonts w:ascii="Times New Roman" w:hAnsi="Times New Roman" w:cs="Times New Roman"/>
          <w:sz w:val="16"/>
          <w:szCs w:val="16"/>
        </w:rPr>
        <w:t xml:space="preserve"> </w:t>
      </w:r>
      <w:r w:rsidR="00815311">
        <w:rPr>
          <w:rFonts w:ascii="Times New Roman" w:hAnsi="Times New Roman" w:cs="Times New Roman"/>
          <w:sz w:val="16"/>
          <w:szCs w:val="16"/>
        </w:rPr>
        <w:t xml:space="preserve">overall </w:t>
      </w:r>
      <w:r w:rsidR="00D745F9" w:rsidRPr="00B01629">
        <w:rPr>
          <w:rFonts w:ascii="Times New Roman" w:hAnsi="Times New Roman" w:cs="Times New Roman"/>
          <w:sz w:val="16"/>
          <w:szCs w:val="16"/>
        </w:rPr>
        <w:t>financial market development</w:t>
      </w:r>
      <w:r w:rsidR="00B01629" w:rsidRPr="00B01629">
        <w:rPr>
          <w:rFonts w:ascii="Times New Roman" w:hAnsi="Times New Roman" w:cs="Times New Roman"/>
          <w:sz w:val="16"/>
          <w:szCs w:val="16"/>
        </w:rPr>
        <w:t xml:space="preserve">. For earnings management, it is the opposite – group 1 (3) represents firms in countries with the highest (lowest) earnings quality and thus highest (lowest) investor protection. </w:t>
      </w:r>
    </w:p>
    <w:p w:rsidR="006B2CB2" w:rsidRDefault="0051708C">
      <w:pPr>
        <w:rPr>
          <w:rFonts w:ascii="Times New Roman" w:hAnsi="Times New Roman" w:cs="Times New Roman"/>
          <w:b/>
          <w:sz w:val="20"/>
        </w:rPr>
      </w:pPr>
      <w:r>
        <w:rPr>
          <w:rFonts w:ascii="Times New Roman" w:hAnsi="Times New Roman" w:cs="Times New Roman"/>
          <w:b/>
          <w:noProof/>
          <w:sz w:val="20"/>
          <w:lang w:eastAsia="ko-KR"/>
        </w:rPr>
        <w:drawing>
          <wp:inline distT="0" distB="0" distL="0" distR="0" wp14:anchorId="13E8E4CC" wp14:editId="689E1743">
            <wp:extent cx="5958280" cy="2889849"/>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0896" cy="2891118"/>
                    </a:xfrm>
                    <a:prstGeom prst="rect">
                      <a:avLst/>
                    </a:prstGeom>
                    <a:noFill/>
                  </pic:spPr>
                </pic:pic>
              </a:graphicData>
            </a:graphic>
          </wp:inline>
        </w:drawing>
      </w:r>
      <w:r w:rsidR="006B2CB2">
        <w:rPr>
          <w:rFonts w:ascii="Times New Roman" w:hAnsi="Times New Roman" w:cs="Times New Roman"/>
          <w:b/>
          <w:sz w:val="20"/>
        </w:rPr>
        <w:br w:type="page"/>
      </w:r>
    </w:p>
    <w:p w:rsidR="00821BD4" w:rsidRPr="00EE1141" w:rsidRDefault="00821BD4" w:rsidP="00821BD4">
      <w:pPr>
        <w:spacing w:after="120" w:line="240" w:lineRule="auto"/>
        <w:rPr>
          <w:rFonts w:ascii="Times New Roman" w:hAnsi="Times New Roman" w:cs="Times New Roman"/>
          <w:b/>
          <w:sz w:val="20"/>
        </w:rPr>
      </w:pPr>
      <w:r w:rsidRPr="00EE1141">
        <w:rPr>
          <w:rFonts w:ascii="Times New Roman" w:hAnsi="Times New Roman" w:cs="Times New Roman"/>
          <w:b/>
          <w:sz w:val="20"/>
        </w:rPr>
        <w:lastRenderedPageBreak/>
        <w:t>Table 1</w:t>
      </w:r>
      <w:r w:rsidR="002D0C41">
        <w:rPr>
          <w:rFonts w:ascii="Times New Roman" w:hAnsi="Times New Roman" w:cs="Times New Roman"/>
          <w:b/>
          <w:sz w:val="20"/>
        </w:rPr>
        <w:t xml:space="preserve"> – </w:t>
      </w:r>
      <w:r w:rsidRPr="00EE1141">
        <w:rPr>
          <w:rFonts w:ascii="Times New Roman" w:hAnsi="Times New Roman" w:cs="Times New Roman"/>
          <w:b/>
          <w:sz w:val="20"/>
        </w:rPr>
        <w:t xml:space="preserve">Summary </w:t>
      </w:r>
      <w:r w:rsidR="000E266E">
        <w:rPr>
          <w:rFonts w:ascii="Times New Roman" w:hAnsi="Times New Roman" w:cs="Times New Roman"/>
          <w:b/>
          <w:sz w:val="20"/>
        </w:rPr>
        <w:t>S</w:t>
      </w:r>
      <w:r w:rsidRPr="00EE1141">
        <w:rPr>
          <w:rFonts w:ascii="Times New Roman" w:hAnsi="Times New Roman" w:cs="Times New Roman"/>
          <w:b/>
          <w:sz w:val="20"/>
        </w:rPr>
        <w:t xml:space="preserve">tatistics for </w:t>
      </w:r>
      <w:r w:rsidR="000E266E">
        <w:rPr>
          <w:rFonts w:ascii="Times New Roman" w:hAnsi="Times New Roman" w:cs="Times New Roman"/>
          <w:b/>
          <w:sz w:val="20"/>
        </w:rPr>
        <w:t>F</w:t>
      </w:r>
      <w:r w:rsidRPr="00EE1141">
        <w:rPr>
          <w:rFonts w:ascii="Times New Roman" w:hAnsi="Times New Roman" w:cs="Times New Roman"/>
          <w:b/>
          <w:sz w:val="20"/>
        </w:rPr>
        <w:t xml:space="preserve">irm-level </w:t>
      </w:r>
      <w:r w:rsidR="000E266E">
        <w:rPr>
          <w:rFonts w:ascii="Times New Roman" w:hAnsi="Times New Roman" w:cs="Times New Roman"/>
          <w:b/>
          <w:sz w:val="20"/>
        </w:rPr>
        <w:t>V</w:t>
      </w:r>
      <w:r w:rsidRPr="00EE1141">
        <w:rPr>
          <w:rFonts w:ascii="Times New Roman" w:hAnsi="Times New Roman" w:cs="Times New Roman"/>
          <w:b/>
          <w:sz w:val="20"/>
        </w:rPr>
        <w:t>ariables</w:t>
      </w:r>
    </w:p>
    <w:p w:rsidR="00821BD4" w:rsidRPr="00EE1141" w:rsidRDefault="00821BD4" w:rsidP="00A87B9F">
      <w:pPr>
        <w:spacing w:after="120" w:line="240" w:lineRule="auto"/>
        <w:ind w:firstLine="288"/>
        <w:jc w:val="both"/>
        <w:rPr>
          <w:rFonts w:ascii="Times New Roman" w:hAnsi="Times New Roman" w:cs="Times New Roman"/>
          <w:sz w:val="16"/>
        </w:rPr>
      </w:pPr>
      <w:r w:rsidRPr="00EE1141">
        <w:rPr>
          <w:rFonts w:ascii="Times New Roman" w:hAnsi="Times New Roman" w:cs="Times New Roman"/>
          <w:sz w:val="16"/>
        </w:rPr>
        <w:t>This table provides summary statistics for firm- and country-level variables at firm-fiscal-year-quarter level from 2005 to 2014.</w:t>
      </w:r>
      <w:r w:rsidRPr="00EE1141">
        <w:t xml:space="preserve"> </w:t>
      </w:r>
      <w:r w:rsidRPr="00EE1141">
        <w:rPr>
          <w:rFonts w:ascii="Times New Roman" w:hAnsi="Times New Roman" w:cs="Times New Roman"/>
          <w:sz w:val="16"/>
        </w:rPr>
        <w:t>CapEx is defined as quarterly capital expenditures over total assets</w:t>
      </w:r>
      <w:r w:rsidR="000E266E">
        <w:rPr>
          <w:rFonts w:ascii="Times New Roman" w:hAnsi="Times New Roman" w:cs="Times New Roman"/>
          <w:sz w:val="16"/>
        </w:rPr>
        <w:t xml:space="preserve"> at the beginning of the quarter</w:t>
      </w:r>
      <w:r w:rsidRPr="00EE1141">
        <w:rPr>
          <w:rFonts w:ascii="Times New Roman" w:hAnsi="Times New Roman" w:cs="Times New Roman"/>
          <w:sz w:val="16"/>
        </w:rPr>
        <w:t xml:space="preserve"> and CapEx_PPE as quarterly capital expenditures over property, plant, &amp; equipment</w:t>
      </w:r>
      <w:r w:rsidR="008B256E">
        <w:rPr>
          <w:rFonts w:ascii="Times New Roman" w:hAnsi="Times New Roman" w:cs="Times New Roman"/>
          <w:sz w:val="16"/>
        </w:rPr>
        <w:t xml:space="preserve"> at the beginning of the quarter</w:t>
      </w:r>
      <w:r w:rsidRPr="00EE1141">
        <w:rPr>
          <w:rFonts w:ascii="Times New Roman" w:hAnsi="Times New Roman" w:cs="Times New Roman"/>
          <w:sz w:val="16"/>
        </w:rPr>
        <w:t>. C</w:t>
      </w:r>
      <w:r w:rsidR="00CC7416">
        <w:rPr>
          <w:rFonts w:ascii="Times New Roman" w:hAnsi="Times New Roman" w:cs="Times New Roman"/>
          <w:sz w:val="16"/>
        </w:rPr>
        <w:t>ash Flow</w:t>
      </w:r>
      <w:r w:rsidRPr="00EE1141">
        <w:rPr>
          <w:rFonts w:ascii="Times New Roman" w:hAnsi="Times New Roman" w:cs="Times New Roman"/>
          <w:sz w:val="16"/>
        </w:rPr>
        <w:t xml:space="preserve"> is constructed as </w:t>
      </w:r>
      <w:r w:rsidR="005B6E0B" w:rsidRPr="005B6E0B">
        <w:rPr>
          <w:rFonts w:ascii="Times New Roman" w:hAnsi="Times New Roman" w:cs="Times New Roman"/>
          <w:sz w:val="16"/>
        </w:rPr>
        <w:t>the sum of quarterly income before extraordinary items and depreciation and amortization, divided by firm’s assets a</w:t>
      </w:r>
      <w:r w:rsidR="005B6E0B">
        <w:rPr>
          <w:rFonts w:ascii="Times New Roman" w:hAnsi="Times New Roman" w:cs="Times New Roman"/>
          <w:sz w:val="16"/>
        </w:rPr>
        <w:t>t the beginning of each quarter</w:t>
      </w:r>
      <w:r w:rsidRPr="00EE1141">
        <w:rPr>
          <w:rFonts w:ascii="Times New Roman" w:hAnsi="Times New Roman" w:cs="Times New Roman"/>
          <w:sz w:val="16"/>
        </w:rPr>
        <w:t xml:space="preserve">. Tobin’s </w:t>
      </w:r>
      <w:r w:rsidR="00F50332">
        <w:rPr>
          <w:rFonts w:ascii="Times New Roman" w:hAnsi="Times New Roman" w:cs="Times New Roman"/>
          <w:sz w:val="16"/>
        </w:rPr>
        <w:t>q</w:t>
      </w:r>
      <w:r w:rsidRPr="00EE1141">
        <w:rPr>
          <w:rFonts w:ascii="Times New Roman" w:hAnsi="Times New Roman" w:cs="Times New Roman"/>
          <w:sz w:val="16"/>
        </w:rPr>
        <w:t xml:space="preserve"> is</w:t>
      </w:r>
      <w:r w:rsidR="00F67421">
        <w:rPr>
          <w:rFonts w:ascii="Times New Roman" w:hAnsi="Times New Roman" w:cs="Times New Roman"/>
          <w:sz w:val="16"/>
        </w:rPr>
        <w:t xml:space="preserve"> measured as</w:t>
      </w:r>
      <w:r w:rsidRPr="00EE1141">
        <w:rPr>
          <w:rFonts w:ascii="Times New Roman" w:hAnsi="Times New Roman" w:cs="Times New Roman"/>
          <w:sz w:val="16"/>
        </w:rPr>
        <w:t xml:space="preserve"> the ratio of market value of assets over book value of assets at the beginning of </w:t>
      </w:r>
      <w:r w:rsidR="000E266E">
        <w:rPr>
          <w:rFonts w:ascii="Times New Roman" w:hAnsi="Times New Roman" w:cs="Times New Roman"/>
          <w:sz w:val="16"/>
        </w:rPr>
        <w:t>the</w:t>
      </w:r>
      <w:r w:rsidRPr="00EE1141">
        <w:rPr>
          <w:rFonts w:ascii="Times New Roman" w:hAnsi="Times New Roman" w:cs="Times New Roman"/>
          <w:sz w:val="16"/>
        </w:rPr>
        <w:t xml:space="preserve"> quarter, and is bounded above at 10. </w:t>
      </w:r>
      <w:r w:rsidR="00F67421">
        <w:rPr>
          <w:rFonts w:ascii="Times New Roman" w:hAnsi="Times New Roman" w:cs="Times New Roman"/>
          <w:sz w:val="16"/>
        </w:rPr>
        <w:t xml:space="preserve">Change in </w:t>
      </w:r>
      <w:r w:rsidR="000E266E">
        <w:rPr>
          <w:rFonts w:ascii="Times New Roman" w:hAnsi="Times New Roman" w:cs="Times New Roman"/>
          <w:sz w:val="16"/>
        </w:rPr>
        <w:t>C</w:t>
      </w:r>
      <w:r w:rsidR="00F67421">
        <w:rPr>
          <w:rFonts w:ascii="Times New Roman" w:hAnsi="Times New Roman" w:cs="Times New Roman"/>
          <w:sz w:val="16"/>
        </w:rPr>
        <w:t xml:space="preserve">ash </w:t>
      </w:r>
      <w:r w:rsidR="000E266E">
        <w:rPr>
          <w:rFonts w:ascii="Times New Roman" w:hAnsi="Times New Roman" w:cs="Times New Roman"/>
          <w:sz w:val="16"/>
        </w:rPr>
        <w:t>H</w:t>
      </w:r>
      <w:r w:rsidR="00F67421">
        <w:rPr>
          <w:rFonts w:ascii="Times New Roman" w:hAnsi="Times New Roman" w:cs="Times New Roman"/>
          <w:sz w:val="16"/>
        </w:rPr>
        <w:t>oldings</w:t>
      </w:r>
      <w:r w:rsidRPr="00EE1141">
        <w:rPr>
          <w:rFonts w:ascii="Times New Roman" w:hAnsi="Times New Roman" w:cs="Times New Roman"/>
          <w:sz w:val="16"/>
        </w:rPr>
        <w:t xml:space="preserve"> is the difference of cash holding from that in the previous fiscal quarter, and cash holding is defined as </w:t>
      </w:r>
      <w:r w:rsidR="000E266E">
        <w:rPr>
          <w:rFonts w:ascii="Times New Roman" w:hAnsi="Times New Roman" w:cs="Times New Roman"/>
          <w:sz w:val="16"/>
        </w:rPr>
        <w:t>c</w:t>
      </w:r>
      <w:r w:rsidR="000E266E" w:rsidRPr="000E266E">
        <w:rPr>
          <w:rFonts w:ascii="Times New Roman" w:hAnsi="Times New Roman" w:cs="Times New Roman"/>
          <w:sz w:val="16"/>
        </w:rPr>
        <w:t xml:space="preserve">ash and </w:t>
      </w:r>
      <w:r w:rsidR="000E266E">
        <w:rPr>
          <w:rFonts w:ascii="Times New Roman" w:hAnsi="Times New Roman" w:cs="Times New Roman"/>
          <w:sz w:val="16"/>
        </w:rPr>
        <w:t>s</w:t>
      </w:r>
      <w:r w:rsidR="000E266E" w:rsidRPr="000E266E">
        <w:rPr>
          <w:rFonts w:ascii="Times New Roman" w:hAnsi="Times New Roman" w:cs="Times New Roman"/>
          <w:sz w:val="16"/>
        </w:rPr>
        <w:t>hort-</w:t>
      </w:r>
      <w:r w:rsidR="000E266E">
        <w:rPr>
          <w:rFonts w:ascii="Times New Roman" w:hAnsi="Times New Roman" w:cs="Times New Roman"/>
          <w:sz w:val="16"/>
        </w:rPr>
        <w:t>t</w:t>
      </w:r>
      <w:r w:rsidR="000E266E" w:rsidRPr="000E266E">
        <w:rPr>
          <w:rFonts w:ascii="Times New Roman" w:hAnsi="Times New Roman" w:cs="Times New Roman"/>
          <w:sz w:val="16"/>
        </w:rPr>
        <w:t xml:space="preserve">erm Investments </w:t>
      </w:r>
      <w:r w:rsidRPr="00EE1141">
        <w:rPr>
          <w:rFonts w:ascii="Times New Roman" w:hAnsi="Times New Roman" w:cs="Times New Roman"/>
          <w:sz w:val="16"/>
        </w:rPr>
        <w:t xml:space="preserve">over </w:t>
      </w:r>
      <w:r w:rsidR="000E266E">
        <w:rPr>
          <w:rFonts w:ascii="Times New Roman" w:hAnsi="Times New Roman" w:cs="Times New Roman"/>
          <w:sz w:val="16"/>
        </w:rPr>
        <w:t>total a</w:t>
      </w:r>
      <w:r w:rsidRPr="00EE1141">
        <w:rPr>
          <w:rFonts w:ascii="Times New Roman" w:hAnsi="Times New Roman" w:cs="Times New Roman"/>
          <w:sz w:val="16"/>
        </w:rPr>
        <w:t xml:space="preserve">ssets. </w:t>
      </w:r>
      <w:r w:rsidR="00F67421">
        <w:rPr>
          <w:rFonts w:ascii="Times New Roman" w:hAnsi="Times New Roman" w:cs="Times New Roman"/>
          <w:sz w:val="16"/>
        </w:rPr>
        <w:t>Leverage</w:t>
      </w:r>
      <w:r w:rsidRPr="00EE1141">
        <w:rPr>
          <w:rFonts w:ascii="Times New Roman" w:hAnsi="Times New Roman" w:cs="Times New Roman"/>
          <w:sz w:val="16"/>
        </w:rPr>
        <w:t xml:space="preserve"> </w:t>
      </w:r>
      <w:r w:rsidR="00F67421">
        <w:rPr>
          <w:rFonts w:ascii="Times New Roman" w:hAnsi="Times New Roman" w:cs="Times New Roman"/>
          <w:sz w:val="16"/>
        </w:rPr>
        <w:t xml:space="preserve">is </w:t>
      </w:r>
      <w:r w:rsidRPr="00EE1141">
        <w:rPr>
          <w:rFonts w:ascii="Times New Roman" w:hAnsi="Times New Roman" w:cs="Times New Roman"/>
          <w:sz w:val="16"/>
        </w:rPr>
        <w:t xml:space="preserve">total debt over total assets. </w:t>
      </w:r>
      <w:r w:rsidR="00F67421">
        <w:rPr>
          <w:rFonts w:ascii="Times New Roman" w:hAnsi="Times New Roman" w:cs="Times New Roman"/>
          <w:sz w:val="16"/>
        </w:rPr>
        <w:t xml:space="preserve">Sales </w:t>
      </w:r>
      <w:r w:rsidR="000E266E">
        <w:rPr>
          <w:rFonts w:ascii="Times New Roman" w:hAnsi="Times New Roman" w:cs="Times New Roman"/>
          <w:sz w:val="16"/>
        </w:rPr>
        <w:t>G</w:t>
      </w:r>
      <w:r w:rsidR="00F67421">
        <w:rPr>
          <w:rFonts w:ascii="Times New Roman" w:hAnsi="Times New Roman" w:cs="Times New Roman"/>
          <w:sz w:val="16"/>
        </w:rPr>
        <w:t>rowth</w:t>
      </w:r>
      <w:r w:rsidRPr="00EE1141">
        <w:rPr>
          <w:rFonts w:ascii="Times New Roman" w:hAnsi="Times New Roman" w:cs="Times New Roman"/>
          <w:sz w:val="16"/>
        </w:rPr>
        <w:t xml:space="preserve"> is the growth rate of sales from the same fiscal quarter in the previous fiscal year</w:t>
      </w:r>
      <w:r w:rsidR="002B0C4D">
        <w:rPr>
          <w:rFonts w:ascii="Times New Roman" w:hAnsi="Times New Roman" w:cs="Times New Roman"/>
          <w:sz w:val="16"/>
        </w:rPr>
        <w:t>.</w:t>
      </w:r>
      <w:r w:rsidRPr="00EE1141">
        <w:rPr>
          <w:rFonts w:ascii="Times New Roman" w:hAnsi="Times New Roman" w:cs="Times New Roman"/>
          <w:sz w:val="16"/>
        </w:rPr>
        <w:t xml:space="preserve"> </w:t>
      </w:r>
      <w:r w:rsidR="002B0C4D">
        <w:rPr>
          <w:rFonts w:ascii="Times New Roman" w:hAnsi="Times New Roman" w:cs="Times New Roman"/>
          <w:sz w:val="16"/>
        </w:rPr>
        <w:t xml:space="preserve">Free Cash Flow is annual </w:t>
      </w:r>
      <w:r w:rsidR="002B0C4D" w:rsidRPr="002B0C4D">
        <w:rPr>
          <w:rFonts w:ascii="Times New Roman" w:hAnsi="Times New Roman" w:cs="Times New Roman"/>
          <w:sz w:val="16"/>
        </w:rPr>
        <w:t>operating income minus interest expense minus income taxes, scaled by the book value of assets</w:t>
      </w:r>
      <w:r w:rsidR="002B0C4D">
        <w:rPr>
          <w:rFonts w:ascii="Times New Roman" w:hAnsi="Times New Roman" w:cs="Times New Roman"/>
          <w:sz w:val="16"/>
        </w:rPr>
        <w:t>.</w:t>
      </w:r>
      <w:r w:rsidRPr="00EE1141">
        <w:rPr>
          <w:rFonts w:ascii="Times New Roman" w:hAnsi="Times New Roman" w:cs="Times New Roman"/>
          <w:sz w:val="16"/>
        </w:rPr>
        <w:t xml:space="preserve"> </w:t>
      </w:r>
      <w:r w:rsidR="002B0C4D">
        <w:rPr>
          <w:rFonts w:ascii="Times New Roman" w:hAnsi="Times New Roman" w:cs="Times New Roman"/>
          <w:sz w:val="16"/>
        </w:rPr>
        <w:t>T</w:t>
      </w:r>
      <w:r w:rsidRPr="00EE1141">
        <w:rPr>
          <w:rFonts w:ascii="Times New Roman" w:hAnsi="Times New Roman" w:cs="Times New Roman"/>
          <w:sz w:val="16"/>
        </w:rPr>
        <w:t xml:space="preserve">he </w:t>
      </w:r>
      <w:r w:rsidR="000E266E">
        <w:rPr>
          <w:rFonts w:ascii="Times New Roman" w:hAnsi="Times New Roman" w:cs="Times New Roman"/>
          <w:sz w:val="16"/>
        </w:rPr>
        <w:t>I</w:t>
      </w:r>
      <w:r w:rsidRPr="00EE1141">
        <w:rPr>
          <w:rFonts w:ascii="Times New Roman" w:hAnsi="Times New Roman" w:cs="Times New Roman"/>
          <w:sz w:val="16"/>
        </w:rPr>
        <w:t xml:space="preserve">mplicit </w:t>
      </w:r>
      <w:r w:rsidR="000E266E">
        <w:rPr>
          <w:rFonts w:ascii="Times New Roman" w:hAnsi="Times New Roman" w:cs="Times New Roman"/>
          <w:sz w:val="16"/>
        </w:rPr>
        <w:t>T</w:t>
      </w:r>
      <w:r w:rsidRPr="00EE1141">
        <w:rPr>
          <w:rFonts w:ascii="Times New Roman" w:hAnsi="Times New Roman" w:cs="Times New Roman"/>
          <w:sz w:val="16"/>
        </w:rPr>
        <w:t xml:space="preserve">ax </w:t>
      </w:r>
      <w:r w:rsidR="000E266E">
        <w:rPr>
          <w:rFonts w:ascii="Times New Roman" w:hAnsi="Times New Roman" w:cs="Times New Roman"/>
          <w:sz w:val="16"/>
        </w:rPr>
        <w:t>R</w:t>
      </w:r>
      <w:r w:rsidRPr="00EE1141">
        <w:rPr>
          <w:rFonts w:ascii="Times New Roman" w:hAnsi="Times New Roman" w:cs="Times New Roman"/>
          <w:sz w:val="16"/>
        </w:rPr>
        <w:t>ate</w:t>
      </w:r>
      <w:r w:rsidR="00F67421">
        <w:rPr>
          <w:rFonts w:ascii="Times New Roman" w:hAnsi="Times New Roman" w:cs="Times New Roman"/>
          <w:sz w:val="16"/>
        </w:rPr>
        <w:t xml:space="preserve"> is</w:t>
      </w:r>
      <w:r w:rsidRPr="00EE1141">
        <w:rPr>
          <w:rFonts w:ascii="Times New Roman" w:hAnsi="Times New Roman" w:cs="Times New Roman"/>
          <w:sz w:val="16"/>
        </w:rPr>
        <w:t xml:space="preserve"> defined as annual total income taxes divided by taxable income. </w:t>
      </w:r>
      <w:r w:rsidR="00F67421">
        <w:rPr>
          <w:rFonts w:ascii="Times New Roman" w:hAnsi="Times New Roman" w:cs="Times New Roman"/>
          <w:sz w:val="16"/>
        </w:rPr>
        <w:t xml:space="preserve">Total </w:t>
      </w:r>
      <w:r w:rsidR="000E266E">
        <w:rPr>
          <w:rFonts w:ascii="Times New Roman" w:hAnsi="Times New Roman" w:cs="Times New Roman"/>
          <w:sz w:val="16"/>
        </w:rPr>
        <w:t>A</w:t>
      </w:r>
      <w:r w:rsidR="00F67421">
        <w:rPr>
          <w:rFonts w:ascii="Times New Roman" w:hAnsi="Times New Roman" w:cs="Times New Roman"/>
          <w:sz w:val="16"/>
        </w:rPr>
        <w:t>ssets</w:t>
      </w:r>
      <w:r w:rsidR="0065537C">
        <w:rPr>
          <w:rFonts w:ascii="Times New Roman" w:hAnsi="Times New Roman" w:cs="Times New Roman"/>
          <w:sz w:val="16"/>
        </w:rPr>
        <w:t xml:space="preserve"> and </w:t>
      </w:r>
      <w:r w:rsidR="000E266E">
        <w:rPr>
          <w:rFonts w:ascii="Times New Roman" w:hAnsi="Times New Roman" w:cs="Times New Roman"/>
          <w:sz w:val="16"/>
        </w:rPr>
        <w:t>M</w:t>
      </w:r>
      <w:r w:rsidR="00F67421">
        <w:rPr>
          <w:rFonts w:ascii="Times New Roman" w:hAnsi="Times New Roman" w:cs="Times New Roman"/>
          <w:sz w:val="16"/>
        </w:rPr>
        <w:t xml:space="preserve">arket </w:t>
      </w:r>
      <w:r w:rsidR="000E266E">
        <w:rPr>
          <w:rFonts w:ascii="Times New Roman" w:hAnsi="Times New Roman" w:cs="Times New Roman"/>
          <w:sz w:val="16"/>
        </w:rPr>
        <w:t>C</w:t>
      </w:r>
      <w:r w:rsidR="00F67421">
        <w:rPr>
          <w:rFonts w:ascii="Times New Roman" w:hAnsi="Times New Roman" w:cs="Times New Roman"/>
          <w:sz w:val="16"/>
        </w:rPr>
        <w:t>ap</w:t>
      </w:r>
      <w:r w:rsidR="0065537C">
        <w:rPr>
          <w:rFonts w:ascii="Times New Roman" w:hAnsi="Times New Roman" w:cs="Times New Roman"/>
          <w:sz w:val="16"/>
        </w:rPr>
        <w:t xml:space="preserve"> are </w:t>
      </w:r>
      <w:r w:rsidR="002B0C4D">
        <w:rPr>
          <w:rFonts w:ascii="Times New Roman" w:hAnsi="Times New Roman" w:cs="Times New Roman"/>
          <w:sz w:val="16"/>
        </w:rPr>
        <w:t xml:space="preserve">book value of </w:t>
      </w:r>
      <w:r w:rsidR="0065537C">
        <w:rPr>
          <w:rFonts w:ascii="Times New Roman" w:hAnsi="Times New Roman" w:cs="Times New Roman"/>
          <w:sz w:val="16"/>
        </w:rPr>
        <w:t xml:space="preserve">total assets and stock market capitalization, respectively, in $millions. </w:t>
      </w:r>
      <w:r w:rsidR="00F67421">
        <w:rPr>
          <w:rFonts w:ascii="Times New Roman" w:hAnsi="Times New Roman" w:cs="Times New Roman"/>
          <w:sz w:val="16"/>
        </w:rPr>
        <w:t>Number of employees is</w:t>
      </w:r>
      <w:r w:rsidR="0065537C">
        <w:rPr>
          <w:rFonts w:ascii="Times New Roman" w:hAnsi="Times New Roman" w:cs="Times New Roman"/>
          <w:sz w:val="16"/>
        </w:rPr>
        <w:t xml:space="preserve"> in </w:t>
      </w:r>
      <w:r w:rsidR="00A87B9F">
        <w:rPr>
          <w:rFonts w:ascii="Times New Roman" w:hAnsi="Times New Roman" w:cs="Times New Roman"/>
          <w:sz w:val="16"/>
        </w:rPr>
        <w:t>thousands</w:t>
      </w:r>
      <w:r w:rsidR="0065537C">
        <w:rPr>
          <w:rFonts w:ascii="Times New Roman" w:hAnsi="Times New Roman" w:cs="Times New Roman"/>
          <w:sz w:val="16"/>
        </w:rPr>
        <w:t>.</w:t>
      </w:r>
    </w:p>
    <w:p w:rsidR="00821BD4" w:rsidRPr="00EE1141" w:rsidRDefault="00821BD4" w:rsidP="00941FA4">
      <w:pPr>
        <w:spacing w:after="240" w:line="240" w:lineRule="auto"/>
        <w:ind w:firstLine="288"/>
        <w:jc w:val="both"/>
        <w:rPr>
          <w:rFonts w:ascii="Times New Roman" w:hAnsi="Times New Roman" w:cs="Times New Roman"/>
          <w:sz w:val="16"/>
        </w:rPr>
      </w:pPr>
      <w:r w:rsidRPr="00EE1141">
        <w:rPr>
          <w:rFonts w:ascii="Times New Roman" w:hAnsi="Times New Roman" w:cs="Times New Roman"/>
          <w:sz w:val="16"/>
        </w:rPr>
        <w:t xml:space="preserve">In Panel B, </w:t>
      </w:r>
      <w:r w:rsidR="00A87B9F">
        <w:rPr>
          <w:rFonts w:ascii="Times New Roman" w:hAnsi="Times New Roman" w:cs="Times New Roman"/>
          <w:sz w:val="16"/>
        </w:rPr>
        <w:t>t</w:t>
      </w:r>
      <w:r w:rsidR="00A87B9F" w:rsidRPr="00EE1141">
        <w:rPr>
          <w:rFonts w:ascii="Times New Roman" w:hAnsi="Times New Roman" w:cs="Times New Roman"/>
          <w:sz w:val="16"/>
        </w:rPr>
        <w:t>he country characteristics are investor rights</w:t>
      </w:r>
      <w:r w:rsidR="00A87B9F">
        <w:rPr>
          <w:rFonts w:ascii="Times New Roman" w:hAnsi="Times New Roman" w:cs="Times New Roman"/>
          <w:sz w:val="16"/>
        </w:rPr>
        <w:t xml:space="preserve"> and protection</w:t>
      </w:r>
      <w:r w:rsidR="00A87B9F" w:rsidRPr="00EE1141">
        <w:rPr>
          <w:rFonts w:ascii="Times New Roman" w:hAnsi="Times New Roman" w:cs="Times New Roman"/>
          <w:sz w:val="16"/>
        </w:rPr>
        <w:t>, development of financial market</w:t>
      </w:r>
      <w:r w:rsidR="00A87B9F">
        <w:rPr>
          <w:rFonts w:ascii="Times New Roman" w:hAnsi="Times New Roman" w:cs="Times New Roman"/>
          <w:sz w:val="16"/>
        </w:rPr>
        <w:t xml:space="preserve">, and </w:t>
      </w:r>
      <w:r w:rsidR="00A87B9F" w:rsidRPr="00EE1141">
        <w:rPr>
          <w:rFonts w:ascii="Times New Roman" w:hAnsi="Times New Roman" w:cs="Times New Roman"/>
          <w:sz w:val="16"/>
        </w:rPr>
        <w:t>GDP per capita in constant 2005 US$ (GDP</w:t>
      </w:r>
      <w:r w:rsidR="00A87B9F">
        <w:rPr>
          <w:rFonts w:ascii="Times New Roman" w:hAnsi="Times New Roman" w:cs="Times New Roman"/>
          <w:sz w:val="16"/>
        </w:rPr>
        <w:t>)</w:t>
      </w:r>
      <w:r w:rsidR="005C31F8">
        <w:rPr>
          <w:rFonts w:ascii="Times New Roman" w:hAnsi="Times New Roman" w:cs="Times New Roman"/>
          <w:sz w:val="16"/>
        </w:rPr>
        <w:t>,</w:t>
      </w:r>
      <w:r w:rsidR="00A87B9F">
        <w:rPr>
          <w:rFonts w:ascii="Times New Roman" w:hAnsi="Times New Roman" w:cs="Times New Roman"/>
          <w:sz w:val="16"/>
        </w:rPr>
        <w:t xml:space="preserve"> annual GDP growth (GDP_GRO)</w:t>
      </w:r>
      <w:r w:rsidR="005C31F8">
        <w:rPr>
          <w:rFonts w:ascii="Times New Roman" w:hAnsi="Times New Roman" w:cs="Times New Roman"/>
          <w:sz w:val="16"/>
        </w:rPr>
        <w:t>, and country-level tax rate (TAX_C)</w:t>
      </w:r>
      <w:r w:rsidR="00A87B9F" w:rsidRPr="00EE1141">
        <w:rPr>
          <w:rFonts w:ascii="Times New Roman" w:hAnsi="Times New Roman" w:cs="Times New Roman"/>
          <w:sz w:val="16"/>
        </w:rPr>
        <w:t xml:space="preserve">. </w:t>
      </w:r>
      <w:r w:rsidRPr="00EE1141">
        <w:rPr>
          <w:rFonts w:ascii="Times New Roman" w:hAnsi="Times New Roman" w:cs="Times New Roman"/>
          <w:sz w:val="16"/>
        </w:rPr>
        <w:t xml:space="preserve">The proxies for investor rights and protection include the anti-director rights index </w:t>
      </w:r>
      <w:r w:rsidR="00693E90">
        <w:rPr>
          <w:rFonts w:ascii="Times New Roman" w:hAnsi="Times New Roman" w:cs="Times New Roman"/>
          <w:sz w:val="16"/>
        </w:rPr>
        <w:t>(AD),</w:t>
      </w:r>
      <w:r w:rsidR="0065537C">
        <w:rPr>
          <w:rFonts w:ascii="Times New Roman" w:hAnsi="Times New Roman" w:cs="Times New Roman"/>
          <w:sz w:val="16"/>
        </w:rPr>
        <w:t xml:space="preserve"> </w:t>
      </w:r>
      <w:r w:rsidRPr="00EE1141">
        <w:rPr>
          <w:rFonts w:ascii="Times New Roman" w:hAnsi="Times New Roman" w:cs="Times New Roman"/>
          <w:sz w:val="16"/>
        </w:rPr>
        <w:t xml:space="preserve">the anti-self-dealing index (AS), </w:t>
      </w:r>
      <w:r w:rsidR="0065537C">
        <w:rPr>
          <w:rFonts w:ascii="Times New Roman" w:hAnsi="Times New Roman" w:cs="Times New Roman"/>
          <w:sz w:val="16"/>
        </w:rPr>
        <w:t>the</w:t>
      </w:r>
      <w:r w:rsidRPr="00EE1141">
        <w:rPr>
          <w:rFonts w:ascii="Times New Roman" w:hAnsi="Times New Roman" w:cs="Times New Roman"/>
          <w:sz w:val="16"/>
        </w:rPr>
        <w:t xml:space="preserve"> extent of disclosure index (DISC)</w:t>
      </w:r>
      <w:r w:rsidR="0065537C">
        <w:rPr>
          <w:rFonts w:ascii="Times New Roman" w:hAnsi="Times New Roman" w:cs="Times New Roman"/>
          <w:sz w:val="16"/>
        </w:rPr>
        <w:t xml:space="preserve">, </w:t>
      </w:r>
      <w:r w:rsidR="0065537C" w:rsidRPr="00EE1141">
        <w:rPr>
          <w:rFonts w:ascii="Times New Roman" w:hAnsi="Times New Roman" w:cs="Times New Roman"/>
          <w:sz w:val="16"/>
        </w:rPr>
        <w:t>accounting quality (ACCT),</w:t>
      </w:r>
      <w:r w:rsidR="0065537C">
        <w:rPr>
          <w:rFonts w:ascii="Times New Roman" w:hAnsi="Times New Roman" w:cs="Times New Roman"/>
          <w:sz w:val="16"/>
        </w:rPr>
        <w:t xml:space="preserve"> earnings management index (EM</w:t>
      </w:r>
      <w:r w:rsidR="00A87B9F">
        <w:rPr>
          <w:rFonts w:ascii="Times New Roman" w:hAnsi="Times New Roman" w:cs="Times New Roman"/>
          <w:sz w:val="16"/>
        </w:rPr>
        <w:t>)</w:t>
      </w:r>
      <w:r w:rsidR="005C31F8">
        <w:rPr>
          <w:rFonts w:ascii="Times New Roman" w:hAnsi="Times New Roman" w:cs="Times New Roman"/>
          <w:sz w:val="16"/>
        </w:rPr>
        <w:t xml:space="preserve">, </w:t>
      </w:r>
      <w:r w:rsidR="005C31F8" w:rsidRPr="00EE1141">
        <w:rPr>
          <w:rFonts w:ascii="Times New Roman" w:hAnsi="Times New Roman" w:cs="Times New Roman"/>
          <w:sz w:val="16"/>
        </w:rPr>
        <w:t>an indicator of whether the country has Engli</w:t>
      </w:r>
      <w:r w:rsidR="005C31F8">
        <w:rPr>
          <w:rFonts w:ascii="Times New Roman" w:hAnsi="Times New Roman" w:cs="Times New Roman"/>
          <w:sz w:val="16"/>
        </w:rPr>
        <w:t>sh Common Law legal origin (UK) and the</w:t>
      </w:r>
      <w:r w:rsidR="005C31F8" w:rsidRPr="00EE1141">
        <w:rPr>
          <w:rFonts w:ascii="Times New Roman" w:hAnsi="Times New Roman" w:cs="Times New Roman"/>
          <w:sz w:val="16"/>
        </w:rPr>
        <w:t xml:space="preserve"> rule of law index (RULE</w:t>
      </w:r>
      <w:r w:rsidR="005C31F8">
        <w:rPr>
          <w:rFonts w:ascii="Times New Roman" w:hAnsi="Times New Roman" w:cs="Times New Roman"/>
          <w:sz w:val="16"/>
        </w:rPr>
        <w:t>)</w:t>
      </w:r>
      <w:r w:rsidR="00A87B9F">
        <w:rPr>
          <w:rFonts w:ascii="Times New Roman" w:hAnsi="Times New Roman" w:cs="Times New Roman"/>
          <w:sz w:val="16"/>
        </w:rPr>
        <w:t>. T</w:t>
      </w:r>
      <w:r w:rsidRPr="00EE1141">
        <w:rPr>
          <w:rFonts w:ascii="Times New Roman" w:hAnsi="Times New Roman" w:cs="Times New Roman"/>
          <w:sz w:val="16"/>
        </w:rPr>
        <w:t>he development of financial market proxies include the ratio of stock market capitalization over GDP (EQUITY), the ratio of domestic credit to private sector over GDP (CREDIT), the combination of the two as a general measure of financial market development (F</w:t>
      </w:r>
      <w:r w:rsidR="0065537C">
        <w:rPr>
          <w:rFonts w:ascii="Times New Roman" w:hAnsi="Times New Roman" w:cs="Times New Roman"/>
          <w:sz w:val="16"/>
        </w:rPr>
        <w:t>D</w:t>
      </w:r>
      <w:r w:rsidRPr="00EE1141">
        <w:rPr>
          <w:rFonts w:ascii="Times New Roman" w:hAnsi="Times New Roman" w:cs="Times New Roman"/>
          <w:sz w:val="16"/>
        </w:rPr>
        <w:t>), and the number of IPOs per capita (IPO). The details of these variables are provided in Appendix A.</w:t>
      </w:r>
      <w:r w:rsidRPr="00EE1141">
        <w:rPr>
          <w:rFonts w:ascii="Times New Roman" w:hAnsi="Times New Roman" w:cs="Times New Roman"/>
          <w:b/>
          <w:sz w:val="16"/>
        </w:rPr>
        <w:t xml:space="preserve"> </w:t>
      </w:r>
      <w:r w:rsidR="00941FA4" w:rsidRPr="00EE1141">
        <w:rPr>
          <w:rFonts w:ascii="Times New Roman" w:hAnsi="Times New Roman" w:cs="Times New Roman"/>
          <w:sz w:val="16"/>
          <w:szCs w:val="16"/>
        </w:rPr>
        <w:t>Our sample includes 4</w:t>
      </w:r>
      <w:r w:rsidR="00941FA4">
        <w:rPr>
          <w:rFonts w:ascii="Times New Roman" w:hAnsi="Times New Roman" w:cs="Times New Roman"/>
          <w:sz w:val="16"/>
          <w:szCs w:val="16"/>
        </w:rPr>
        <w:t>1</w:t>
      </w:r>
      <w:r w:rsidR="00941FA4" w:rsidRPr="00EE1141">
        <w:rPr>
          <w:rFonts w:ascii="Times New Roman" w:hAnsi="Times New Roman" w:cs="Times New Roman"/>
          <w:sz w:val="16"/>
          <w:szCs w:val="16"/>
        </w:rPr>
        <w:t xml:space="preserve"> countries and covers the period 2005-2014 in fiscal years.</w:t>
      </w:r>
    </w:p>
    <w:tbl>
      <w:tblPr>
        <w:tblW w:w="0" w:type="auto"/>
        <w:jc w:val="center"/>
        <w:tblLayout w:type="fixed"/>
        <w:tblCellMar>
          <w:left w:w="75" w:type="dxa"/>
          <w:right w:w="75" w:type="dxa"/>
        </w:tblCellMar>
        <w:tblLook w:val="0000" w:firstRow="0" w:lastRow="0" w:firstColumn="0" w:lastColumn="0" w:noHBand="0" w:noVBand="0"/>
      </w:tblPr>
      <w:tblGrid>
        <w:gridCol w:w="1440"/>
        <w:gridCol w:w="1152"/>
        <w:gridCol w:w="1152"/>
        <w:gridCol w:w="1152"/>
        <w:gridCol w:w="1152"/>
        <w:gridCol w:w="1152"/>
        <w:gridCol w:w="1152"/>
      </w:tblGrid>
      <w:tr w:rsidR="00821BD4" w:rsidRPr="00526653" w:rsidTr="00F67421">
        <w:trPr>
          <w:jc w:val="center"/>
        </w:trPr>
        <w:tc>
          <w:tcPr>
            <w:tcW w:w="8352" w:type="dxa"/>
            <w:gridSpan w:val="7"/>
            <w:tcBorders>
              <w:top w:val="double" w:sz="4" w:space="0" w:color="auto"/>
              <w:left w:val="nil"/>
              <w:bottom w:val="nil"/>
              <w:right w:val="nil"/>
            </w:tcBorders>
          </w:tcPr>
          <w:p w:rsidR="00821BD4" w:rsidRPr="00526653" w:rsidRDefault="00821BD4" w:rsidP="000E266E">
            <w:pPr>
              <w:widowControl w:val="0"/>
              <w:autoSpaceDE w:val="0"/>
              <w:autoSpaceDN w:val="0"/>
              <w:adjustRightInd w:val="0"/>
              <w:spacing w:after="0" w:line="240" w:lineRule="auto"/>
              <w:jc w:val="center"/>
              <w:rPr>
                <w:rFonts w:ascii="Times New Roman" w:hAnsi="Times New Roman" w:cs="Times New Roman"/>
                <w:sz w:val="18"/>
                <w:szCs w:val="18"/>
              </w:rPr>
            </w:pPr>
            <w:r w:rsidRPr="00526653">
              <w:rPr>
                <w:rFonts w:ascii="Times New Roman" w:hAnsi="Times New Roman" w:cs="Times New Roman"/>
                <w:sz w:val="18"/>
                <w:szCs w:val="18"/>
              </w:rPr>
              <w:t xml:space="preserve">Panel A: Firm </w:t>
            </w:r>
            <w:r w:rsidR="000E266E">
              <w:rPr>
                <w:rFonts w:ascii="Times New Roman" w:hAnsi="Times New Roman" w:cs="Times New Roman"/>
                <w:sz w:val="18"/>
                <w:szCs w:val="18"/>
              </w:rPr>
              <w:t>V</w:t>
            </w:r>
            <w:r w:rsidRPr="00526653">
              <w:rPr>
                <w:rFonts w:ascii="Times New Roman" w:hAnsi="Times New Roman" w:cs="Times New Roman"/>
                <w:sz w:val="18"/>
                <w:szCs w:val="18"/>
              </w:rPr>
              <w:t xml:space="preserve">ariable </w:t>
            </w:r>
            <w:r w:rsidR="000E266E">
              <w:rPr>
                <w:rFonts w:ascii="Times New Roman" w:hAnsi="Times New Roman" w:cs="Times New Roman"/>
                <w:sz w:val="18"/>
                <w:szCs w:val="18"/>
              </w:rPr>
              <w:t>Summary S</w:t>
            </w:r>
            <w:r w:rsidRPr="00526653">
              <w:rPr>
                <w:rFonts w:ascii="Times New Roman" w:hAnsi="Times New Roman" w:cs="Times New Roman"/>
                <w:sz w:val="18"/>
                <w:szCs w:val="18"/>
              </w:rPr>
              <w:t>tatistics</w:t>
            </w:r>
          </w:p>
        </w:tc>
      </w:tr>
      <w:tr w:rsidR="00821BD4" w:rsidRPr="00526653" w:rsidTr="003465DB">
        <w:trPr>
          <w:jc w:val="center"/>
        </w:trPr>
        <w:tc>
          <w:tcPr>
            <w:tcW w:w="1440" w:type="dxa"/>
            <w:tcBorders>
              <w:top w:val="single" w:sz="6" w:space="0" w:color="auto"/>
              <w:left w:val="nil"/>
              <w:bottom w:val="nil"/>
              <w:right w:val="nil"/>
            </w:tcBorders>
          </w:tcPr>
          <w:p w:rsidR="00821BD4" w:rsidRPr="00526653" w:rsidRDefault="00821BD4" w:rsidP="00526653">
            <w:pPr>
              <w:widowControl w:val="0"/>
              <w:autoSpaceDE w:val="0"/>
              <w:autoSpaceDN w:val="0"/>
              <w:adjustRightInd w:val="0"/>
              <w:spacing w:after="0" w:line="240" w:lineRule="auto"/>
              <w:rPr>
                <w:rFonts w:ascii="Times New Roman" w:hAnsi="Times New Roman" w:cs="Times New Roman"/>
                <w:sz w:val="18"/>
                <w:szCs w:val="18"/>
              </w:rPr>
            </w:pPr>
          </w:p>
        </w:tc>
        <w:tc>
          <w:tcPr>
            <w:tcW w:w="1152" w:type="dxa"/>
            <w:tcBorders>
              <w:top w:val="single" w:sz="6" w:space="0" w:color="auto"/>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r w:rsidRPr="00526653">
              <w:rPr>
                <w:rFonts w:ascii="Times New Roman" w:hAnsi="Times New Roman" w:cs="Times New Roman"/>
                <w:sz w:val="18"/>
                <w:szCs w:val="18"/>
              </w:rPr>
              <w:t>(1)</w:t>
            </w:r>
          </w:p>
        </w:tc>
        <w:tc>
          <w:tcPr>
            <w:tcW w:w="1152" w:type="dxa"/>
            <w:tcBorders>
              <w:top w:val="single" w:sz="6" w:space="0" w:color="auto"/>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r w:rsidRPr="00526653">
              <w:rPr>
                <w:rFonts w:ascii="Times New Roman" w:hAnsi="Times New Roman" w:cs="Times New Roman"/>
                <w:sz w:val="18"/>
                <w:szCs w:val="18"/>
              </w:rPr>
              <w:t>(2)</w:t>
            </w:r>
          </w:p>
        </w:tc>
        <w:tc>
          <w:tcPr>
            <w:tcW w:w="1152" w:type="dxa"/>
            <w:tcBorders>
              <w:top w:val="single" w:sz="6" w:space="0" w:color="auto"/>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r w:rsidRPr="00526653">
              <w:rPr>
                <w:rFonts w:ascii="Times New Roman" w:hAnsi="Times New Roman" w:cs="Times New Roman"/>
                <w:sz w:val="18"/>
                <w:szCs w:val="18"/>
              </w:rPr>
              <w:t>(3)</w:t>
            </w:r>
          </w:p>
        </w:tc>
        <w:tc>
          <w:tcPr>
            <w:tcW w:w="1152" w:type="dxa"/>
            <w:tcBorders>
              <w:top w:val="single" w:sz="6" w:space="0" w:color="auto"/>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r w:rsidRPr="00526653">
              <w:rPr>
                <w:rFonts w:ascii="Times New Roman" w:hAnsi="Times New Roman" w:cs="Times New Roman"/>
                <w:sz w:val="18"/>
                <w:szCs w:val="18"/>
              </w:rPr>
              <w:t>(4)</w:t>
            </w:r>
          </w:p>
        </w:tc>
        <w:tc>
          <w:tcPr>
            <w:tcW w:w="1152" w:type="dxa"/>
            <w:tcBorders>
              <w:top w:val="single" w:sz="6" w:space="0" w:color="auto"/>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r w:rsidRPr="00526653">
              <w:rPr>
                <w:rFonts w:ascii="Times New Roman" w:hAnsi="Times New Roman" w:cs="Times New Roman"/>
                <w:sz w:val="18"/>
                <w:szCs w:val="18"/>
              </w:rPr>
              <w:t>(5)</w:t>
            </w:r>
          </w:p>
        </w:tc>
        <w:tc>
          <w:tcPr>
            <w:tcW w:w="1152" w:type="dxa"/>
            <w:tcBorders>
              <w:top w:val="single" w:sz="6" w:space="0" w:color="auto"/>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r w:rsidRPr="00526653">
              <w:rPr>
                <w:rFonts w:ascii="Times New Roman" w:hAnsi="Times New Roman" w:cs="Times New Roman"/>
                <w:sz w:val="18"/>
                <w:szCs w:val="18"/>
              </w:rPr>
              <w:t>(6)</w:t>
            </w:r>
          </w:p>
        </w:tc>
      </w:tr>
      <w:tr w:rsidR="00821BD4" w:rsidRPr="00526653" w:rsidTr="003465DB">
        <w:trPr>
          <w:jc w:val="center"/>
        </w:trPr>
        <w:tc>
          <w:tcPr>
            <w:tcW w:w="1440" w:type="dxa"/>
            <w:tcBorders>
              <w:top w:val="nil"/>
              <w:left w:val="nil"/>
              <w:bottom w:val="single" w:sz="6" w:space="0" w:color="auto"/>
              <w:right w:val="nil"/>
            </w:tcBorders>
          </w:tcPr>
          <w:p w:rsidR="00821BD4" w:rsidRPr="00526653" w:rsidRDefault="00821BD4" w:rsidP="000E266E">
            <w:pPr>
              <w:widowControl w:val="0"/>
              <w:autoSpaceDE w:val="0"/>
              <w:autoSpaceDN w:val="0"/>
              <w:adjustRightInd w:val="0"/>
              <w:spacing w:after="0" w:line="240" w:lineRule="auto"/>
              <w:rPr>
                <w:rFonts w:ascii="Times New Roman" w:hAnsi="Times New Roman" w:cs="Times New Roman"/>
                <w:sz w:val="18"/>
                <w:szCs w:val="18"/>
              </w:rPr>
            </w:pPr>
            <w:r w:rsidRPr="00526653">
              <w:rPr>
                <w:rFonts w:ascii="Times New Roman" w:hAnsi="Times New Roman" w:cs="Times New Roman"/>
                <w:sz w:val="18"/>
                <w:szCs w:val="18"/>
              </w:rPr>
              <w:t>V</w:t>
            </w:r>
            <w:r w:rsidR="000E266E">
              <w:rPr>
                <w:rFonts w:ascii="Times New Roman" w:hAnsi="Times New Roman" w:cs="Times New Roman"/>
                <w:sz w:val="18"/>
                <w:szCs w:val="18"/>
              </w:rPr>
              <w:t>ariables</w:t>
            </w:r>
          </w:p>
        </w:tc>
        <w:tc>
          <w:tcPr>
            <w:tcW w:w="1152" w:type="dxa"/>
            <w:tcBorders>
              <w:top w:val="nil"/>
              <w:left w:val="nil"/>
              <w:bottom w:val="single" w:sz="6" w:space="0" w:color="auto"/>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r w:rsidRPr="00526653">
              <w:rPr>
                <w:rFonts w:ascii="Times New Roman" w:hAnsi="Times New Roman" w:cs="Times New Roman"/>
                <w:sz w:val="18"/>
                <w:szCs w:val="18"/>
              </w:rPr>
              <w:t>N</w:t>
            </w:r>
          </w:p>
        </w:tc>
        <w:tc>
          <w:tcPr>
            <w:tcW w:w="1152" w:type="dxa"/>
            <w:tcBorders>
              <w:top w:val="nil"/>
              <w:left w:val="nil"/>
              <w:bottom w:val="single" w:sz="6" w:space="0" w:color="auto"/>
              <w:right w:val="nil"/>
            </w:tcBorders>
          </w:tcPr>
          <w:p w:rsidR="00821BD4" w:rsidRPr="00526653" w:rsidRDefault="00CC7416" w:rsidP="0052665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M</w:t>
            </w:r>
            <w:r w:rsidR="00821BD4" w:rsidRPr="00526653">
              <w:rPr>
                <w:rFonts w:ascii="Times New Roman" w:hAnsi="Times New Roman" w:cs="Times New Roman"/>
                <w:sz w:val="18"/>
                <w:szCs w:val="18"/>
              </w:rPr>
              <w:t>ean</w:t>
            </w:r>
          </w:p>
        </w:tc>
        <w:tc>
          <w:tcPr>
            <w:tcW w:w="1152" w:type="dxa"/>
            <w:tcBorders>
              <w:top w:val="nil"/>
              <w:left w:val="nil"/>
              <w:bottom w:val="single" w:sz="6" w:space="0" w:color="auto"/>
              <w:right w:val="nil"/>
            </w:tcBorders>
          </w:tcPr>
          <w:p w:rsidR="00821BD4" w:rsidRPr="00526653" w:rsidRDefault="00CC7416" w:rsidP="0052665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Std. Dev.</w:t>
            </w:r>
          </w:p>
        </w:tc>
        <w:tc>
          <w:tcPr>
            <w:tcW w:w="1152" w:type="dxa"/>
            <w:tcBorders>
              <w:top w:val="nil"/>
              <w:left w:val="nil"/>
              <w:bottom w:val="single" w:sz="6" w:space="0" w:color="auto"/>
              <w:right w:val="nil"/>
            </w:tcBorders>
          </w:tcPr>
          <w:p w:rsidR="00821BD4" w:rsidRPr="00526653" w:rsidRDefault="00E56908" w:rsidP="00526653">
            <w:pPr>
              <w:widowControl w:val="0"/>
              <w:autoSpaceDE w:val="0"/>
              <w:autoSpaceDN w:val="0"/>
              <w:adjustRightInd w:val="0"/>
              <w:spacing w:after="0" w:line="240" w:lineRule="auto"/>
              <w:jc w:val="center"/>
              <w:rPr>
                <w:rFonts w:ascii="Times New Roman" w:hAnsi="Times New Roman" w:cs="Times New Roman"/>
                <w:sz w:val="18"/>
                <w:szCs w:val="18"/>
              </w:rPr>
            </w:pPr>
            <w:r w:rsidRPr="00F67421">
              <w:rPr>
                <w:rFonts w:ascii="Times New Roman" w:hAnsi="Times New Roman" w:cs="Times New Roman"/>
                <w:sz w:val="16"/>
                <w:szCs w:val="18"/>
              </w:rPr>
              <w:t>25</w:t>
            </w:r>
            <w:r w:rsidRPr="00F67421">
              <w:rPr>
                <w:rFonts w:ascii="Times New Roman" w:hAnsi="Times New Roman" w:cs="Times New Roman"/>
                <w:sz w:val="16"/>
                <w:szCs w:val="18"/>
                <w:vertAlign w:val="superscript"/>
              </w:rPr>
              <w:t>th</w:t>
            </w:r>
            <w:r w:rsidRPr="00F67421">
              <w:rPr>
                <w:rFonts w:ascii="Times New Roman" w:hAnsi="Times New Roman" w:cs="Times New Roman"/>
                <w:sz w:val="16"/>
                <w:szCs w:val="18"/>
              </w:rPr>
              <w:t xml:space="preserve"> Percentile</w:t>
            </w:r>
          </w:p>
        </w:tc>
        <w:tc>
          <w:tcPr>
            <w:tcW w:w="1152" w:type="dxa"/>
            <w:tcBorders>
              <w:top w:val="nil"/>
              <w:left w:val="nil"/>
              <w:bottom w:val="single" w:sz="6" w:space="0" w:color="auto"/>
              <w:right w:val="nil"/>
            </w:tcBorders>
          </w:tcPr>
          <w:p w:rsidR="00821BD4" w:rsidRPr="00526653" w:rsidRDefault="00CC7416" w:rsidP="00526653">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M</w:t>
            </w:r>
            <w:r w:rsidR="00E56908" w:rsidRPr="00526653">
              <w:rPr>
                <w:rFonts w:ascii="Times New Roman" w:hAnsi="Times New Roman" w:cs="Times New Roman"/>
                <w:sz w:val="18"/>
                <w:szCs w:val="18"/>
              </w:rPr>
              <w:t>edian</w:t>
            </w:r>
          </w:p>
        </w:tc>
        <w:tc>
          <w:tcPr>
            <w:tcW w:w="1152" w:type="dxa"/>
            <w:tcBorders>
              <w:top w:val="nil"/>
              <w:left w:val="nil"/>
              <w:bottom w:val="single" w:sz="6" w:space="0" w:color="auto"/>
              <w:right w:val="nil"/>
            </w:tcBorders>
          </w:tcPr>
          <w:p w:rsidR="00821BD4" w:rsidRPr="00526653" w:rsidRDefault="00E56908" w:rsidP="00526653">
            <w:pPr>
              <w:widowControl w:val="0"/>
              <w:autoSpaceDE w:val="0"/>
              <w:autoSpaceDN w:val="0"/>
              <w:adjustRightInd w:val="0"/>
              <w:spacing w:after="0" w:line="240" w:lineRule="auto"/>
              <w:jc w:val="center"/>
              <w:rPr>
                <w:rFonts w:ascii="Times New Roman" w:hAnsi="Times New Roman" w:cs="Times New Roman"/>
                <w:sz w:val="18"/>
                <w:szCs w:val="18"/>
              </w:rPr>
            </w:pPr>
            <w:r w:rsidRPr="00F67421">
              <w:rPr>
                <w:rFonts w:ascii="Times New Roman" w:hAnsi="Times New Roman" w:cs="Times New Roman"/>
                <w:sz w:val="16"/>
                <w:szCs w:val="18"/>
              </w:rPr>
              <w:t>75</w:t>
            </w:r>
            <w:r w:rsidRPr="00F67421">
              <w:rPr>
                <w:rFonts w:ascii="Times New Roman" w:hAnsi="Times New Roman" w:cs="Times New Roman"/>
                <w:sz w:val="16"/>
                <w:szCs w:val="18"/>
                <w:vertAlign w:val="superscript"/>
              </w:rPr>
              <w:t>th</w:t>
            </w:r>
            <w:r w:rsidRPr="00F67421">
              <w:rPr>
                <w:rFonts w:ascii="Times New Roman" w:hAnsi="Times New Roman" w:cs="Times New Roman"/>
                <w:sz w:val="16"/>
                <w:szCs w:val="18"/>
              </w:rPr>
              <w:t xml:space="preserve"> Percentile</w:t>
            </w:r>
          </w:p>
        </w:tc>
      </w:tr>
      <w:tr w:rsidR="00821BD4" w:rsidRPr="00526653" w:rsidTr="003465DB">
        <w:trPr>
          <w:jc w:val="center"/>
        </w:trPr>
        <w:tc>
          <w:tcPr>
            <w:tcW w:w="1440" w:type="dxa"/>
            <w:tcBorders>
              <w:top w:val="nil"/>
              <w:left w:val="nil"/>
              <w:bottom w:val="nil"/>
              <w:right w:val="nil"/>
            </w:tcBorders>
          </w:tcPr>
          <w:p w:rsidR="00821BD4" w:rsidRPr="00526653" w:rsidRDefault="00821BD4" w:rsidP="00526653">
            <w:pPr>
              <w:widowControl w:val="0"/>
              <w:autoSpaceDE w:val="0"/>
              <w:autoSpaceDN w:val="0"/>
              <w:adjustRightInd w:val="0"/>
              <w:spacing w:after="0" w:line="240" w:lineRule="auto"/>
              <w:rPr>
                <w:rFonts w:ascii="Times New Roman" w:hAnsi="Times New Roman" w:cs="Times New Roman"/>
                <w:sz w:val="18"/>
                <w:szCs w:val="18"/>
              </w:rPr>
            </w:pPr>
          </w:p>
        </w:tc>
        <w:tc>
          <w:tcPr>
            <w:tcW w:w="1152" w:type="dxa"/>
            <w:tcBorders>
              <w:top w:val="nil"/>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p>
        </w:tc>
        <w:tc>
          <w:tcPr>
            <w:tcW w:w="1152" w:type="dxa"/>
            <w:tcBorders>
              <w:top w:val="nil"/>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p>
        </w:tc>
        <w:tc>
          <w:tcPr>
            <w:tcW w:w="1152" w:type="dxa"/>
            <w:tcBorders>
              <w:top w:val="nil"/>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p>
        </w:tc>
        <w:tc>
          <w:tcPr>
            <w:tcW w:w="1152" w:type="dxa"/>
            <w:tcBorders>
              <w:top w:val="nil"/>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p>
        </w:tc>
        <w:tc>
          <w:tcPr>
            <w:tcW w:w="1152" w:type="dxa"/>
            <w:tcBorders>
              <w:top w:val="nil"/>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p>
        </w:tc>
        <w:tc>
          <w:tcPr>
            <w:tcW w:w="1152" w:type="dxa"/>
            <w:tcBorders>
              <w:top w:val="nil"/>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p>
        </w:tc>
      </w:tr>
      <w:tr w:rsidR="007B6C5F" w:rsidRPr="00526653" w:rsidTr="007B6C5F">
        <w:trPr>
          <w:jc w:val="center"/>
        </w:trPr>
        <w:tc>
          <w:tcPr>
            <w:tcW w:w="1440"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CapEx</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232,192</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1.344</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1.527</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0.355</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0.810</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1.714</w:t>
            </w:r>
          </w:p>
        </w:tc>
      </w:tr>
      <w:tr w:rsidR="007B6C5F" w:rsidRPr="00526653" w:rsidTr="007B6C5F">
        <w:trPr>
          <w:jc w:val="center"/>
        </w:trPr>
        <w:tc>
          <w:tcPr>
            <w:tcW w:w="1440"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CapEx_PPE</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231,770</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6.947</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8.275</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2.357</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4.572</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8.329</w:t>
            </w:r>
          </w:p>
        </w:tc>
      </w:tr>
      <w:tr w:rsidR="007B6C5F" w:rsidRPr="00526653" w:rsidTr="007B6C5F">
        <w:trPr>
          <w:jc w:val="center"/>
        </w:trPr>
        <w:tc>
          <w:tcPr>
            <w:tcW w:w="1440"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Cash Flow</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232,192</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0.0158</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0.0411</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0.00831</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0.0206</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0.0335</w:t>
            </w:r>
          </w:p>
        </w:tc>
      </w:tr>
      <w:tr w:rsidR="007B6C5F" w:rsidRPr="00526653" w:rsidTr="007B6C5F">
        <w:trPr>
          <w:jc w:val="center"/>
        </w:trPr>
        <w:tc>
          <w:tcPr>
            <w:tcW w:w="1440"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Tobin’s q</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232,192</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1.750</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1.266</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1.013</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1.356</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1.991</w:t>
            </w:r>
          </w:p>
        </w:tc>
      </w:tr>
      <w:tr w:rsidR="007B6C5F" w:rsidRPr="00526653" w:rsidTr="007B6C5F">
        <w:trPr>
          <w:jc w:val="center"/>
        </w:trPr>
        <w:tc>
          <w:tcPr>
            <w:tcW w:w="1440"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Change in Cash Holdings</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231,267</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-0.000877</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0.0425</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-0.0139</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0.0121</w:t>
            </w:r>
          </w:p>
        </w:tc>
      </w:tr>
      <w:tr w:rsidR="007B6C5F" w:rsidRPr="00526653" w:rsidTr="007B6C5F">
        <w:trPr>
          <w:jc w:val="center"/>
        </w:trPr>
        <w:tc>
          <w:tcPr>
            <w:tcW w:w="1440"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Leverage</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232,168</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0.186</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0.168</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0.0214</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0.159</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0.298</w:t>
            </w:r>
          </w:p>
        </w:tc>
      </w:tr>
      <w:tr w:rsidR="000770F9" w:rsidRPr="000770F9" w:rsidTr="007B6C5F">
        <w:trPr>
          <w:jc w:val="center"/>
        </w:trPr>
        <w:tc>
          <w:tcPr>
            <w:tcW w:w="1440" w:type="dxa"/>
            <w:tcBorders>
              <w:top w:val="nil"/>
              <w:left w:val="nil"/>
              <w:bottom w:val="nil"/>
              <w:right w:val="nil"/>
            </w:tcBorders>
          </w:tcPr>
          <w:p w:rsidR="007B6C5F" w:rsidRPr="000770F9"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0770F9">
              <w:rPr>
                <w:rFonts w:ascii="Times New Roman" w:hAnsi="Times New Roman" w:cs="Times New Roman"/>
                <w:sz w:val="18"/>
                <w:szCs w:val="18"/>
              </w:rPr>
              <w:t>Sales Growth</w:t>
            </w:r>
          </w:p>
        </w:tc>
        <w:tc>
          <w:tcPr>
            <w:tcW w:w="1152" w:type="dxa"/>
            <w:tcBorders>
              <w:top w:val="nil"/>
              <w:left w:val="nil"/>
              <w:bottom w:val="nil"/>
              <w:right w:val="nil"/>
            </w:tcBorders>
          </w:tcPr>
          <w:p w:rsidR="007B6C5F" w:rsidRPr="000770F9" w:rsidRDefault="007B6C5F" w:rsidP="007B6C5F">
            <w:pPr>
              <w:spacing w:after="0" w:line="240" w:lineRule="auto"/>
              <w:contextualSpacing/>
              <w:jc w:val="center"/>
              <w:rPr>
                <w:rFonts w:ascii="Times New Roman" w:hAnsi="Times New Roman" w:cs="Times New Roman"/>
                <w:sz w:val="18"/>
                <w:szCs w:val="18"/>
              </w:rPr>
            </w:pPr>
            <w:r w:rsidRPr="000770F9">
              <w:rPr>
                <w:rFonts w:ascii="Times New Roman" w:hAnsi="Times New Roman" w:cs="Times New Roman"/>
                <w:sz w:val="18"/>
                <w:szCs w:val="18"/>
              </w:rPr>
              <w:t>223,396</w:t>
            </w:r>
          </w:p>
        </w:tc>
        <w:tc>
          <w:tcPr>
            <w:tcW w:w="1152" w:type="dxa"/>
            <w:tcBorders>
              <w:top w:val="nil"/>
              <w:left w:val="nil"/>
              <w:bottom w:val="nil"/>
              <w:right w:val="nil"/>
            </w:tcBorders>
          </w:tcPr>
          <w:p w:rsidR="007B6C5F" w:rsidRPr="000770F9" w:rsidRDefault="007B6C5F" w:rsidP="007B6C5F">
            <w:pPr>
              <w:spacing w:after="0" w:line="240" w:lineRule="auto"/>
              <w:contextualSpacing/>
              <w:jc w:val="center"/>
              <w:rPr>
                <w:rFonts w:ascii="Times New Roman" w:hAnsi="Times New Roman" w:cs="Times New Roman"/>
                <w:sz w:val="18"/>
                <w:szCs w:val="18"/>
              </w:rPr>
            </w:pPr>
            <w:r w:rsidRPr="000770F9">
              <w:rPr>
                <w:rFonts w:ascii="Times New Roman" w:hAnsi="Times New Roman" w:cs="Times New Roman"/>
                <w:sz w:val="18"/>
                <w:szCs w:val="18"/>
              </w:rPr>
              <w:t>0.133</w:t>
            </w:r>
          </w:p>
        </w:tc>
        <w:tc>
          <w:tcPr>
            <w:tcW w:w="1152" w:type="dxa"/>
            <w:tcBorders>
              <w:top w:val="nil"/>
              <w:left w:val="nil"/>
              <w:bottom w:val="nil"/>
              <w:right w:val="nil"/>
            </w:tcBorders>
          </w:tcPr>
          <w:p w:rsidR="007B6C5F" w:rsidRPr="000770F9" w:rsidRDefault="007B6C5F" w:rsidP="007B6C5F">
            <w:pPr>
              <w:spacing w:after="0" w:line="240" w:lineRule="auto"/>
              <w:contextualSpacing/>
              <w:jc w:val="center"/>
              <w:rPr>
                <w:rFonts w:ascii="Times New Roman" w:hAnsi="Times New Roman" w:cs="Times New Roman"/>
                <w:sz w:val="18"/>
                <w:szCs w:val="18"/>
              </w:rPr>
            </w:pPr>
            <w:r w:rsidRPr="000770F9">
              <w:rPr>
                <w:rFonts w:ascii="Times New Roman" w:hAnsi="Times New Roman" w:cs="Times New Roman"/>
                <w:sz w:val="18"/>
                <w:szCs w:val="18"/>
              </w:rPr>
              <w:t>0.430</w:t>
            </w:r>
          </w:p>
        </w:tc>
        <w:tc>
          <w:tcPr>
            <w:tcW w:w="1152" w:type="dxa"/>
            <w:tcBorders>
              <w:top w:val="nil"/>
              <w:left w:val="nil"/>
              <w:bottom w:val="nil"/>
              <w:right w:val="nil"/>
            </w:tcBorders>
          </w:tcPr>
          <w:p w:rsidR="007B6C5F" w:rsidRPr="000770F9" w:rsidRDefault="007B6C5F" w:rsidP="007B6C5F">
            <w:pPr>
              <w:spacing w:after="0" w:line="240" w:lineRule="auto"/>
              <w:contextualSpacing/>
              <w:jc w:val="center"/>
              <w:rPr>
                <w:rFonts w:ascii="Times New Roman" w:hAnsi="Times New Roman" w:cs="Times New Roman"/>
                <w:sz w:val="18"/>
                <w:szCs w:val="18"/>
              </w:rPr>
            </w:pPr>
            <w:r w:rsidRPr="000770F9">
              <w:rPr>
                <w:rFonts w:ascii="Times New Roman" w:hAnsi="Times New Roman" w:cs="Times New Roman"/>
                <w:sz w:val="18"/>
                <w:szCs w:val="18"/>
              </w:rPr>
              <w:t>-0.0348</w:t>
            </w:r>
          </w:p>
        </w:tc>
        <w:tc>
          <w:tcPr>
            <w:tcW w:w="1152" w:type="dxa"/>
            <w:tcBorders>
              <w:top w:val="nil"/>
              <w:left w:val="nil"/>
              <w:bottom w:val="nil"/>
              <w:right w:val="nil"/>
            </w:tcBorders>
          </w:tcPr>
          <w:p w:rsidR="007B6C5F" w:rsidRPr="000770F9" w:rsidRDefault="007B6C5F" w:rsidP="007B6C5F">
            <w:pPr>
              <w:spacing w:after="0" w:line="240" w:lineRule="auto"/>
              <w:contextualSpacing/>
              <w:jc w:val="center"/>
              <w:rPr>
                <w:rFonts w:ascii="Times New Roman" w:hAnsi="Times New Roman" w:cs="Times New Roman"/>
                <w:sz w:val="18"/>
                <w:szCs w:val="18"/>
              </w:rPr>
            </w:pPr>
            <w:r w:rsidRPr="000770F9">
              <w:rPr>
                <w:rFonts w:ascii="Times New Roman" w:hAnsi="Times New Roman" w:cs="Times New Roman"/>
                <w:sz w:val="18"/>
                <w:szCs w:val="18"/>
              </w:rPr>
              <w:t>0.0701</w:t>
            </w:r>
          </w:p>
        </w:tc>
        <w:tc>
          <w:tcPr>
            <w:tcW w:w="1152" w:type="dxa"/>
            <w:tcBorders>
              <w:top w:val="nil"/>
              <w:left w:val="nil"/>
              <w:bottom w:val="nil"/>
              <w:right w:val="nil"/>
            </w:tcBorders>
          </w:tcPr>
          <w:p w:rsidR="007B6C5F" w:rsidRPr="000770F9" w:rsidRDefault="007B6C5F" w:rsidP="007B6C5F">
            <w:pPr>
              <w:spacing w:after="0" w:line="240" w:lineRule="auto"/>
              <w:contextualSpacing/>
              <w:jc w:val="center"/>
              <w:rPr>
                <w:rFonts w:ascii="Times New Roman" w:hAnsi="Times New Roman" w:cs="Times New Roman"/>
                <w:sz w:val="18"/>
                <w:szCs w:val="18"/>
              </w:rPr>
            </w:pPr>
            <w:r w:rsidRPr="000770F9">
              <w:rPr>
                <w:rFonts w:ascii="Times New Roman" w:hAnsi="Times New Roman" w:cs="Times New Roman"/>
                <w:sz w:val="18"/>
                <w:szCs w:val="18"/>
              </w:rPr>
              <w:t>0.203</w:t>
            </w:r>
          </w:p>
        </w:tc>
      </w:tr>
      <w:tr w:rsidR="007B6C5F" w:rsidRPr="00526653" w:rsidTr="007B6C5F">
        <w:tblPrEx>
          <w:tblBorders>
            <w:bottom w:val="single" w:sz="6" w:space="0" w:color="auto"/>
          </w:tblBorders>
        </w:tblPrEx>
        <w:trPr>
          <w:jc w:val="center"/>
        </w:trPr>
        <w:tc>
          <w:tcPr>
            <w:tcW w:w="1440"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Free Cash Flow</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232,176</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0.0637</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0.135</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0.0384</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0.0805</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0.124</w:t>
            </w:r>
          </w:p>
        </w:tc>
      </w:tr>
      <w:tr w:rsidR="007B6C5F" w:rsidRPr="00526653" w:rsidTr="007B6C5F">
        <w:trPr>
          <w:jc w:val="center"/>
        </w:trPr>
        <w:tc>
          <w:tcPr>
            <w:tcW w:w="1440" w:type="dxa"/>
            <w:tcBorders>
              <w:top w:val="nil"/>
              <w:left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Implicit Tax Rate</w:t>
            </w:r>
          </w:p>
        </w:tc>
        <w:tc>
          <w:tcPr>
            <w:tcW w:w="1152"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232,180</w:t>
            </w:r>
          </w:p>
        </w:tc>
        <w:tc>
          <w:tcPr>
            <w:tcW w:w="1152"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0.194</w:t>
            </w:r>
          </w:p>
        </w:tc>
        <w:tc>
          <w:tcPr>
            <w:tcW w:w="1152"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0.408</w:t>
            </w:r>
          </w:p>
        </w:tc>
        <w:tc>
          <w:tcPr>
            <w:tcW w:w="1152"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0.0524</w:t>
            </w:r>
          </w:p>
        </w:tc>
        <w:tc>
          <w:tcPr>
            <w:tcW w:w="1152"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0.246</w:t>
            </w:r>
          </w:p>
        </w:tc>
        <w:tc>
          <w:tcPr>
            <w:tcW w:w="1152"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0.339</w:t>
            </w:r>
          </w:p>
        </w:tc>
      </w:tr>
      <w:tr w:rsidR="007B6C5F" w:rsidRPr="00526653" w:rsidTr="007B6C5F">
        <w:tblPrEx>
          <w:tblBorders>
            <w:bottom w:val="single" w:sz="6" w:space="0" w:color="auto"/>
          </w:tblBorders>
        </w:tblPrEx>
        <w:trPr>
          <w:jc w:val="center"/>
        </w:trPr>
        <w:tc>
          <w:tcPr>
            <w:tcW w:w="1440" w:type="dxa"/>
            <w:tcBorders>
              <w:top w:val="nil"/>
              <w:left w:val="nil"/>
              <w:bottom w:val="nil"/>
              <w:right w:val="nil"/>
            </w:tcBorders>
          </w:tcPr>
          <w:p w:rsidR="007B6C5F" w:rsidRPr="00526653" w:rsidRDefault="007B6C5F" w:rsidP="00526653">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Total Assets</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232,192</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1,916</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5,210</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72.41</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261.1</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1,107</w:t>
            </w:r>
          </w:p>
        </w:tc>
      </w:tr>
      <w:tr w:rsidR="007B6C5F" w:rsidRPr="00526653" w:rsidTr="007B6C5F">
        <w:tblPrEx>
          <w:tblBorders>
            <w:bottom w:val="single" w:sz="6" w:space="0" w:color="auto"/>
          </w:tblBorders>
        </w:tblPrEx>
        <w:trPr>
          <w:jc w:val="center"/>
        </w:trPr>
        <w:tc>
          <w:tcPr>
            <w:tcW w:w="1440" w:type="dxa"/>
            <w:tcBorders>
              <w:top w:val="nil"/>
              <w:left w:val="nil"/>
              <w:bottom w:val="nil"/>
              <w:right w:val="nil"/>
            </w:tcBorders>
          </w:tcPr>
          <w:p w:rsidR="007B6C5F" w:rsidRPr="00526653" w:rsidRDefault="007B6C5F" w:rsidP="000E266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Market Cap</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232,180</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1,834</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5,252</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56.32</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225.1</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1,025</w:t>
            </w:r>
          </w:p>
        </w:tc>
      </w:tr>
      <w:tr w:rsidR="007B6C5F" w:rsidRPr="00526653" w:rsidTr="007B6C5F">
        <w:tblPrEx>
          <w:tblBorders>
            <w:bottom w:val="single" w:sz="6" w:space="0" w:color="auto"/>
          </w:tblBorders>
        </w:tblPrEx>
        <w:trPr>
          <w:jc w:val="center"/>
        </w:trPr>
        <w:tc>
          <w:tcPr>
            <w:tcW w:w="1440" w:type="dxa"/>
            <w:tcBorders>
              <w:top w:val="nil"/>
              <w:left w:val="nil"/>
              <w:bottom w:val="double" w:sz="4" w:space="0" w:color="auto"/>
              <w:right w:val="nil"/>
            </w:tcBorders>
          </w:tcPr>
          <w:p w:rsidR="007B6C5F" w:rsidRPr="00526653" w:rsidRDefault="007B6C5F" w:rsidP="00526653">
            <w:pPr>
              <w:widowControl w:val="0"/>
              <w:autoSpaceDE w:val="0"/>
              <w:autoSpaceDN w:val="0"/>
              <w:adjustRightInd w:val="0"/>
              <w:spacing w:after="0" w:line="240" w:lineRule="auto"/>
              <w:rPr>
                <w:rFonts w:ascii="Times New Roman" w:hAnsi="Times New Roman" w:cs="Times New Roman"/>
                <w:sz w:val="18"/>
                <w:szCs w:val="18"/>
              </w:rPr>
            </w:pPr>
            <w:r w:rsidRPr="00CC7416">
              <w:rPr>
                <w:rFonts w:ascii="Times New Roman" w:hAnsi="Times New Roman" w:cs="Times New Roman"/>
                <w:sz w:val="16"/>
                <w:szCs w:val="18"/>
              </w:rPr>
              <w:t>Num. of Employees</w:t>
            </w:r>
          </w:p>
        </w:tc>
        <w:tc>
          <w:tcPr>
            <w:tcW w:w="1152" w:type="dxa"/>
            <w:tcBorders>
              <w:top w:val="nil"/>
              <w:left w:val="nil"/>
              <w:bottom w:val="double" w:sz="4" w:space="0" w:color="auto"/>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173,683</w:t>
            </w:r>
          </w:p>
        </w:tc>
        <w:tc>
          <w:tcPr>
            <w:tcW w:w="1152" w:type="dxa"/>
            <w:tcBorders>
              <w:top w:val="nil"/>
              <w:left w:val="nil"/>
              <w:bottom w:val="double" w:sz="4" w:space="0" w:color="auto"/>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9.422</w:t>
            </w:r>
          </w:p>
        </w:tc>
        <w:tc>
          <w:tcPr>
            <w:tcW w:w="1152" w:type="dxa"/>
            <w:tcBorders>
              <w:top w:val="nil"/>
              <w:left w:val="nil"/>
              <w:bottom w:val="double" w:sz="4" w:space="0" w:color="auto"/>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22.58</w:t>
            </w:r>
          </w:p>
        </w:tc>
        <w:tc>
          <w:tcPr>
            <w:tcW w:w="1152" w:type="dxa"/>
            <w:tcBorders>
              <w:top w:val="nil"/>
              <w:left w:val="nil"/>
              <w:bottom w:val="double" w:sz="4" w:space="0" w:color="auto"/>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0.394</w:t>
            </w:r>
          </w:p>
        </w:tc>
        <w:tc>
          <w:tcPr>
            <w:tcW w:w="1152" w:type="dxa"/>
            <w:tcBorders>
              <w:top w:val="nil"/>
              <w:left w:val="nil"/>
              <w:bottom w:val="double" w:sz="4" w:space="0" w:color="auto"/>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1.660</w:t>
            </w:r>
          </w:p>
        </w:tc>
        <w:tc>
          <w:tcPr>
            <w:tcW w:w="1152" w:type="dxa"/>
            <w:tcBorders>
              <w:top w:val="nil"/>
              <w:left w:val="nil"/>
              <w:bottom w:val="double" w:sz="4" w:space="0" w:color="auto"/>
              <w:right w:val="nil"/>
            </w:tcBorders>
          </w:tcPr>
          <w:p w:rsidR="007B6C5F" w:rsidRPr="007B6C5F" w:rsidRDefault="007B6C5F" w:rsidP="007B6C5F">
            <w:pPr>
              <w:spacing w:after="0" w:line="240" w:lineRule="auto"/>
              <w:contextualSpacing/>
              <w:jc w:val="center"/>
              <w:rPr>
                <w:rFonts w:ascii="Times New Roman" w:hAnsi="Times New Roman" w:cs="Times New Roman"/>
                <w:sz w:val="18"/>
              </w:rPr>
            </w:pPr>
            <w:r w:rsidRPr="007B6C5F">
              <w:rPr>
                <w:rFonts w:ascii="Times New Roman" w:hAnsi="Times New Roman" w:cs="Times New Roman"/>
                <w:sz w:val="18"/>
              </w:rPr>
              <w:t>6.803</w:t>
            </w:r>
          </w:p>
        </w:tc>
      </w:tr>
    </w:tbl>
    <w:p w:rsidR="00821BD4" w:rsidRPr="00EE1141" w:rsidRDefault="00821BD4" w:rsidP="00821BD4">
      <w:pPr>
        <w:spacing w:after="120" w:line="240" w:lineRule="auto"/>
        <w:rPr>
          <w:rFonts w:ascii="Times New Roman" w:hAnsi="Times New Roman" w:cs="Times New Roman"/>
          <w:sz w:val="20"/>
        </w:rPr>
      </w:pPr>
    </w:p>
    <w:tbl>
      <w:tblPr>
        <w:tblW w:w="0" w:type="auto"/>
        <w:jc w:val="center"/>
        <w:tblLayout w:type="fixed"/>
        <w:tblCellMar>
          <w:left w:w="75" w:type="dxa"/>
          <w:right w:w="75" w:type="dxa"/>
        </w:tblCellMar>
        <w:tblLook w:val="0000" w:firstRow="0" w:lastRow="0" w:firstColumn="0" w:lastColumn="0" w:noHBand="0" w:noVBand="0"/>
      </w:tblPr>
      <w:tblGrid>
        <w:gridCol w:w="1656"/>
        <w:gridCol w:w="936"/>
        <w:gridCol w:w="1152"/>
        <w:gridCol w:w="1152"/>
        <w:gridCol w:w="1152"/>
        <w:gridCol w:w="1152"/>
        <w:gridCol w:w="1152"/>
      </w:tblGrid>
      <w:tr w:rsidR="00821BD4" w:rsidRPr="00526653" w:rsidTr="00F67421">
        <w:trPr>
          <w:jc w:val="center"/>
        </w:trPr>
        <w:tc>
          <w:tcPr>
            <w:tcW w:w="8352" w:type="dxa"/>
            <w:gridSpan w:val="7"/>
            <w:tcBorders>
              <w:top w:val="double" w:sz="4" w:space="0" w:color="auto"/>
              <w:left w:val="nil"/>
              <w:bottom w:val="nil"/>
              <w:right w:val="nil"/>
            </w:tcBorders>
          </w:tcPr>
          <w:p w:rsidR="00821BD4" w:rsidRPr="00526653" w:rsidRDefault="00821BD4" w:rsidP="000E266E">
            <w:pPr>
              <w:widowControl w:val="0"/>
              <w:autoSpaceDE w:val="0"/>
              <w:autoSpaceDN w:val="0"/>
              <w:adjustRightInd w:val="0"/>
              <w:spacing w:after="0" w:line="240" w:lineRule="auto"/>
              <w:jc w:val="center"/>
              <w:rPr>
                <w:rFonts w:ascii="Times New Roman" w:hAnsi="Times New Roman" w:cs="Times New Roman"/>
                <w:sz w:val="18"/>
                <w:szCs w:val="18"/>
              </w:rPr>
            </w:pPr>
            <w:r w:rsidRPr="00526653">
              <w:rPr>
                <w:rFonts w:ascii="Times New Roman" w:hAnsi="Times New Roman" w:cs="Times New Roman"/>
                <w:sz w:val="18"/>
                <w:szCs w:val="18"/>
              </w:rPr>
              <w:t xml:space="preserve">Panel B: Country </w:t>
            </w:r>
            <w:r w:rsidR="000E266E">
              <w:rPr>
                <w:rFonts w:ascii="Times New Roman" w:hAnsi="Times New Roman" w:cs="Times New Roman"/>
                <w:sz w:val="18"/>
                <w:szCs w:val="18"/>
              </w:rPr>
              <w:t>V</w:t>
            </w:r>
            <w:r w:rsidRPr="00526653">
              <w:rPr>
                <w:rFonts w:ascii="Times New Roman" w:hAnsi="Times New Roman" w:cs="Times New Roman"/>
                <w:sz w:val="18"/>
                <w:szCs w:val="18"/>
              </w:rPr>
              <w:t xml:space="preserve">ariable </w:t>
            </w:r>
            <w:r w:rsidR="000E266E">
              <w:rPr>
                <w:rFonts w:ascii="Times New Roman" w:hAnsi="Times New Roman" w:cs="Times New Roman"/>
                <w:sz w:val="18"/>
                <w:szCs w:val="18"/>
              </w:rPr>
              <w:t>S</w:t>
            </w:r>
            <w:r w:rsidRPr="00526653">
              <w:rPr>
                <w:rFonts w:ascii="Times New Roman" w:hAnsi="Times New Roman" w:cs="Times New Roman"/>
                <w:sz w:val="18"/>
                <w:szCs w:val="18"/>
              </w:rPr>
              <w:t xml:space="preserve">ummary </w:t>
            </w:r>
            <w:r w:rsidR="000E266E">
              <w:rPr>
                <w:rFonts w:ascii="Times New Roman" w:hAnsi="Times New Roman" w:cs="Times New Roman"/>
                <w:sz w:val="18"/>
                <w:szCs w:val="18"/>
              </w:rPr>
              <w:t>S</w:t>
            </w:r>
            <w:r w:rsidRPr="00526653">
              <w:rPr>
                <w:rFonts w:ascii="Times New Roman" w:hAnsi="Times New Roman" w:cs="Times New Roman"/>
                <w:sz w:val="18"/>
                <w:szCs w:val="18"/>
              </w:rPr>
              <w:t>tatistics</w:t>
            </w:r>
          </w:p>
        </w:tc>
      </w:tr>
      <w:tr w:rsidR="00821BD4" w:rsidRPr="00526653" w:rsidTr="005C31F8">
        <w:trPr>
          <w:jc w:val="center"/>
        </w:trPr>
        <w:tc>
          <w:tcPr>
            <w:tcW w:w="1656" w:type="dxa"/>
            <w:tcBorders>
              <w:top w:val="single" w:sz="6" w:space="0" w:color="auto"/>
              <w:left w:val="nil"/>
              <w:bottom w:val="nil"/>
              <w:right w:val="nil"/>
            </w:tcBorders>
          </w:tcPr>
          <w:p w:rsidR="00821BD4" w:rsidRPr="00526653" w:rsidRDefault="00821BD4" w:rsidP="00526653">
            <w:pPr>
              <w:widowControl w:val="0"/>
              <w:autoSpaceDE w:val="0"/>
              <w:autoSpaceDN w:val="0"/>
              <w:adjustRightInd w:val="0"/>
              <w:spacing w:after="0" w:line="240" w:lineRule="auto"/>
              <w:rPr>
                <w:rFonts w:ascii="Times New Roman" w:hAnsi="Times New Roman" w:cs="Times New Roman"/>
                <w:sz w:val="18"/>
                <w:szCs w:val="18"/>
              </w:rPr>
            </w:pPr>
          </w:p>
        </w:tc>
        <w:tc>
          <w:tcPr>
            <w:tcW w:w="936" w:type="dxa"/>
            <w:tcBorders>
              <w:top w:val="single" w:sz="6" w:space="0" w:color="auto"/>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r w:rsidRPr="00526653">
              <w:rPr>
                <w:rFonts w:ascii="Times New Roman" w:hAnsi="Times New Roman" w:cs="Times New Roman"/>
                <w:sz w:val="18"/>
                <w:szCs w:val="18"/>
              </w:rPr>
              <w:t>(1)</w:t>
            </w:r>
          </w:p>
        </w:tc>
        <w:tc>
          <w:tcPr>
            <w:tcW w:w="1152" w:type="dxa"/>
            <w:tcBorders>
              <w:top w:val="single" w:sz="6" w:space="0" w:color="auto"/>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r w:rsidRPr="00526653">
              <w:rPr>
                <w:rFonts w:ascii="Times New Roman" w:hAnsi="Times New Roman" w:cs="Times New Roman"/>
                <w:sz w:val="18"/>
                <w:szCs w:val="18"/>
              </w:rPr>
              <w:t>(2)</w:t>
            </w:r>
          </w:p>
        </w:tc>
        <w:tc>
          <w:tcPr>
            <w:tcW w:w="1152" w:type="dxa"/>
            <w:tcBorders>
              <w:top w:val="single" w:sz="6" w:space="0" w:color="auto"/>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r w:rsidRPr="00526653">
              <w:rPr>
                <w:rFonts w:ascii="Times New Roman" w:hAnsi="Times New Roman" w:cs="Times New Roman"/>
                <w:sz w:val="18"/>
                <w:szCs w:val="18"/>
              </w:rPr>
              <w:t>(3)</w:t>
            </w:r>
          </w:p>
        </w:tc>
        <w:tc>
          <w:tcPr>
            <w:tcW w:w="1152" w:type="dxa"/>
            <w:tcBorders>
              <w:top w:val="single" w:sz="6" w:space="0" w:color="auto"/>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r w:rsidRPr="00526653">
              <w:rPr>
                <w:rFonts w:ascii="Times New Roman" w:hAnsi="Times New Roman" w:cs="Times New Roman"/>
                <w:sz w:val="18"/>
                <w:szCs w:val="18"/>
              </w:rPr>
              <w:t>(4)</w:t>
            </w:r>
          </w:p>
        </w:tc>
        <w:tc>
          <w:tcPr>
            <w:tcW w:w="1152" w:type="dxa"/>
            <w:tcBorders>
              <w:top w:val="single" w:sz="6" w:space="0" w:color="auto"/>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r w:rsidRPr="00526653">
              <w:rPr>
                <w:rFonts w:ascii="Times New Roman" w:hAnsi="Times New Roman" w:cs="Times New Roman"/>
                <w:sz w:val="18"/>
                <w:szCs w:val="18"/>
              </w:rPr>
              <w:t>(5)</w:t>
            </w:r>
          </w:p>
        </w:tc>
        <w:tc>
          <w:tcPr>
            <w:tcW w:w="1152" w:type="dxa"/>
            <w:tcBorders>
              <w:top w:val="single" w:sz="6" w:space="0" w:color="auto"/>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r w:rsidRPr="00526653">
              <w:rPr>
                <w:rFonts w:ascii="Times New Roman" w:hAnsi="Times New Roman" w:cs="Times New Roman"/>
                <w:sz w:val="18"/>
                <w:szCs w:val="18"/>
              </w:rPr>
              <w:t>(6)</w:t>
            </w:r>
          </w:p>
        </w:tc>
      </w:tr>
      <w:tr w:rsidR="00CC7416" w:rsidRPr="00526653" w:rsidTr="005C31F8">
        <w:trPr>
          <w:jc w:val="center"/>
        </w:trPr>
        <w:tc>
          <w:tcPr>
            <w:tcW w:w="1656" w:type="dxa"/>
            <w:tcBorders>
              <w:top w:val="nil"/>
              <w:left w:val="nil"/>
              <w:bottom w:val="single" w:sz="6" w:space="0" w:color="auto"/>
              <w:right w:val="nil"/>
            </w:tcBorders>
          </w:tcPr>
          <w:p w:rsidR="00CC7416" w:rsidRPr="00526653" w:rsidRDefault="000E266E" w:rsidP="00526653">
            <w:pPr>
              <w:widowControl w:val="0"/>
              <w:autoSpaceDE w:val="0"/>
              <w:autoSpaceDN w:val="0"/>
              <w:adjustRightInd w:val="0"/>
              <w:spacing w:after="0" w:line="240" w:lineRule="auto"/>
              <w:rPr>
                <w:rFonts w:ascii="Times New Roman" w:hAnsi="Times New Roman" w:cs="Times New Roman"/>
                <w:sz w:val="18"/>
                <w:szCs w:val="18"/>
              </w:rPr>
            </w:pPr>
            <w:r w:rsidRPr="00526653">
              <w:rPr>
                <w:rFonts w:ascii="Times New Roman" w:hAnsi="Times New Roman" w:cs="Times New Roman"/>
                <w:sz w:val="18"/>
                <w:szCs w:val="18"/>
              </w:rPr>
              <w:t>V</w:t>
            </w:r>
            <w:r>
              <w:rPr>
                <w:rFonts w:ascii="Times New Roman" w:hAnsi="Times New Roman" w:cs="Times New Roman"/>
                <w:sz w:val="18"/>
                <w:szCs w:val="18"/>
              </w:rPr>
              <w:t>ariables</w:t>
            </w:r>
          </w:p>
        </w:tc>
        <w:tc>
          <w:tcPr>
            <w:tcW w:w="936" w:type="dxa"/>
            <w:tcBorders>
              <w:top w:val="nil"/>
              <w:left w:val="nil"/>
              <w:bottom w:val="single" w:sz="6" w:space="0" w:color="auto"/>
              <w:right w:val="nil"/>
            </w:tcBorders>
          </w:tcPr>
          <w:p w:rsidR="00CC7416" w:rsidRPr="00526653" w:rsidRDefault="00CC7416" w:rsidP="00E13B3E">
            <w:pPr>
              <w:widowControl w:val="0"/>
              <w:autoSpaceDE w:val="0"/>
              <w:autoSpaceDN w:val="0"/>
              <w:adjustRightInd w:val="0"/>
              <w:spacing w:after="0" w:line="240" w:lineRule="auto"/>
              <w:jc w:val="center"/>
              <w:rPr>
                <w:rFonts w:ascii="Times New Roman" w:hAnsi="Times New Roman" w:cs="Times New Roman"/>
                <w:sz w:val="18"/>
                <w:szCs w:val="18"/>
              </w:rPr>
            </w:pPr>
            <w:r w:rsidRPr="00526653">
              <w:rPr>
                <w:rFonts w:ascii="Times New Roman" w:hAnsi="Times New Roman" w:cs="Times New Roman"/>
                <w:sz w:val="18"/>
                <w:szCs w:val="18"/>
              </w:rPr>
              <w:t>N</w:t>
            </w:r>
          </w:p>
        </w:tc>
        <w:tc>
          <w:tcPr>
            <w:tcW w:w="1152" w:type="dxa"/>
            <w:tcBorders>
              <w:top w:val="nil"/>
              <w:left w:val="nil"/>
              <w:bottom w:val="single" w:sz="6" w:space="0" w:color="auto"/>
              <w:right w:val="nil"/>
            </w:tcBorders>
          </w:tcPr>
          <w:p w:rsidR="00CC7416" w:rsidRPr="00526653" w:rsidRDefault="00CC7416" w:rsidP="00E13B3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M</w:t>
            </w:r>
            <w:r w:rsidRPr="00526653">
              <w:rPr>
                <w:rFonts w:ascii="Times New Roman" w:hAnsi="Times New Roman" w:cs="Times New Roman"/>
                <w:sz w:val="18"/>
                <w:szCs w:val="18"/>
              </w:rPr>
              <w:t>ean</w:t>
            </w:r>
          </w:p>
        </w:tc>
        <w:tc>
          <w:tcPr>
            <w:tcW w:w="1152" w:type="dxa"/>
            <w:tcBorders>
              <w:top w:val="nil"/>
              <w:left w:val="nil"/>
              <w:bottom w:val="single" w:sz="6" w:space="0" w:color="auto"/>
              <w:right w:val="nil"/>
            </w:tcBorders>
          </w:tcPr>
          <w:p w:rsidR="00CC7416" w:rsidRPr="00526653" w:rsidRDefault="00CC7416" w:rsidP="00E13B3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Std. Dev.</w:t>
            </w:r>
          </w:p>
        </w:tc>
        <w:tc>
          <w:tcPr>
            <w:tcW w:w="1152" w:type="dxa"/>
            <w:tcBorders>
              <w:top w:val="nil"/>
              <w:left w:val="nil"/>
              <w:bottom w:val="single" w:sz="6" w:space="0" w:color="auto"/>
              <w:right w:val="nil"/>
            </w:tcBorders>
          </w:tcPr>
          <w:p w:rsidR="00CC7416" w:rsidRPr="00526653" w:rsidRDefault="00CC7416" w:rsidP="00E13B3E">
            <w:pPr>
              <w:widowControl w:val="0"/>
              <w:autoSpaceDE w:val="0"/>
              <w:autoSpaceDN w:val="0"/>
              <w:adjustRightInd w:val="0"/>
              <w:spacing w:after="0" w:line="240" w:lineRule="auto"/>
              <w:jc w:val="center"/>
              <w:rPr>
                <w:rFonts w:ascii="Times New Roman" w:hAnsi="Times New Roman" w:cs="Times New Roman"/>
                <w:sz w:val="18"/>
                <w:szCs w:val="18"/>
              </w:rPr>
            </w:pPr>
            <w:r w:rsidRPr="00F67421">
              <w:rPr>
                <w:rFonts w:ascii="Times New Roman" w:hAnsi="Times New Roman" w:cs="Times New Roman"/>
                <w:sz w:val="16"/>
                <w:szCs w:val="18"/>
              </w:rPr>
              <w:t>25</w:t>
            </w:r>
            <w:r w:rsidRPr="00F67421">
              <w:rPr>
                <w:rFonts w:ascii="Times New Roman" w:hAnsi="Times New Roman" w:cs="Times New Roman"/>
                <w:sz w:val="16"/>
                <w:szCs w:val="18"/>
                <w:vertAlign w:val="superscript"/>
              </w:rPr>
              <w:t>th</w:t>
            </w:r>
            <w:r w:rsidRPr="00F67421">
              <w:rPr>
                <w:rFonts w:ascii="Times New Roman" w:hAnsi="Times New Roman" w:cs="Times New Roman"/>
                <w:sz w:val="16"/>
                <w:szCs w:val="18"/>
              </w:rPr>
              <w:t xml:space="preserve"> Percentile</w:t>
            </w:r>
          </w:p>
        </w:tc>
        <w:tc>
          <w:tcPr>
            <w:tcW w:w="1152" w:type="dxa"/>
            <w:tcBorders>
              <w:top w:val="nil"/>
              <w:left w:val="nil"/>
              <w:bottom w:val="single" w:sz="6" w:space="0" w:color="auto"/>
              <w:right w:val="nil"/>
            </w:tcBorders>
          </w:tcPr>
          <w:p w:rsidR="00CC7416" w:rsidRPr="00526653" w:rsidRDefault="00CC7416" w:rsidP="00E13B3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M</w:t>
            </w:r>
            <w:r w:rsidRPr="00526653">
              <w:rPr>
                <w:rFonts w:ascii="Times New Roman" w:hAnsi="Times New Roman" w:cs="Times New Roman"/>
                <w:sz w:val="18"/>
                <w:szCs w:val="18"/>
              </w:rPr>
              <w:t>edian</w:t>
            </w:r>
          </w:p>
        </w:tc>
        <w:tc>
          <w:tcPr>
            <w:tcW w:w="1152" w:type="dxa"/>
            <w:tcBorders>
              <w:top w:val="nil"/>
              <w:left w:val="nil"/>
              <w:bottom w:val="single" w:sz="6" w:space="0" w:color="auto"/>
              <w:right w:val="nil"/>
            </w:tcBorders>
          </w:tcPr>
          <w:p w:rsidR="00CC7416" w:rsidRPr="00526653" w:rsidRDefault="00CC7416" w:rsidP="00E13B3E">
            <w:pPr>
              <w:widowControl w:val="0"/>
              <w:autoSpaceDE w:val="0"/>
              <w:autoSpaceDN w:val="0"/>
              <w:adjustRightInd w:val="0"/>
              <w:spacing w:after="0" w:line="240" w:lineRule="auto"/>
              <w:jc w:val="center"/>
              <w:rPr>
                <w:rFonts w:ascii="Times New Roman" w:hAnsi="Times New Roman" w:cs="Times New Roman"/>
                <w:sz w:val="18"/>
                <w:szCs w:val="18"/>
              </w:rPr>
            </w:pPr>
            <w:r w:rsidRPr="00F67421">
              <w:rPr>
                <w:rFonts w:ascii="Times New Roman" w:hAnsi="Times New Roman" w:cs="Times New Roman"/>
                <w:sz w:val="16"/>
                <w:szCs w:val="18"/>
              </w:rPr>
              <w:t>75</w:t>
            </w:r>
            <w:r w:rsidRPr="00F67421">
              <w:rPr>
                <w:rFonts w:ascii="Times New Roman" w:hAnsi="Times New Roman" w:cs="Times New Roman"/>
                <w:sz w:val="16"/>
                <w:szCs w:val="18"/>
                <w:vertAlign w:val="superscript"/>
              </w:rPr>
              <w:t>th</w:t>
            </w:r>
            <w:r w:rsidRPr="00F67421">
              <w:rPr>
                <w:rFonts w:ascii="Times New Roman" w:hAnsi="Times New Roman" w:cs="Times New Roman"/>
                <w:sz w:val="16"/>
                <w:szCs w:val="18"/>
              </w:rPr>
              <w:t xml:space="preserve"> Percentile</w:t>
            </w:r>
          </w:p>
        </w:tc>
      </w:tr>
      <w:tr w:rsidR="00821BD4" w:rsidRPr="00526653" w:rsidTr="005C31F8">
        <w:trPr>
          <w:jc w:val="center"/>
        </w:trPr>
        <w:tc>
          <w:tcPr>
            <w:tcW w:w="1656" w:type="dxa"/>
            <w:tcBorders>
              <w:top w:val="nil"/>
              <w:left w:val="nil"/>
              <w:bottom w:val="nil"/>
              <w:right w:val="nil"/>
            </w:tcBorders>
          </w:tcPr>
          <w:p w:rsidR="00821BD4" w:rsidRPr="00526653" w:rsidRDefault="00821BD4" w:rsidP="00526653">
            <w:pPr>
              <w:widowControl w:val="0"/>
              <w:autoSpaceDE w:val="0"/>
              <w:autoSpaceDN w:val="0"/>
              <w:adjustRightInd w:val="0"/>
              <w:spacing w:after="0" w:line="240" w:lineRule="auto"/>
              <w:rPr>
                <w:rFonts w:ascii="Times New Roman" w:hAnsi="Times New Roman" w:cs="Times New Roman"/>
                <w:sz w:val="18"/>
                <w:szCs w:val="18"/>
              </w:rPr>
            </w:pPr>
          </w:p>
        </w:tc>
        <w:tc>
          <w:tcPr>
            <w:tcW w:w="936" w:type="dxa"/>
            <w:tcBorders>
              <w:top w:val="nil"/>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p>
        </w:tc>
        <w:tc>
          <w:tcPr>
            <w:tcW w:w="1152" w:type="dxa"/>
            <w:tcBorders>
              <w:top w:val="nil"/>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p>
        </w:tc>
        <w:tc>
          <w:tcPr>
            <w:tcW w:w="1152" w:type="dxa"/>
            <w:tcBorders>
              <w:top w:val="nil"/>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p>
        </w:tc>
        <w:tc>
          <w:tcPr>
            <w:tcW w:w="1152" w:type="dxa"/>
            <w:tcBorders>
              <w:top w:val="nil"/>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p>
        </w:tc>
        <w:tc>
          <w:tcPr>
            <w:tcW w:w="1152" w:type="dxa"/>
            <w:tcBorders>
              <w:top w:val="nil"/>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p>
        </w:tc>
        <w:tc>
          <w:tcPr>
            <w:tcW w:w="1152" w:type="dxa"/>
            <w:tcBorders>
              <w:top w:val="nil"/>
              <w:left w:val="nil"/>
              <w:bottom w:val="nil"/>
              <w:right w:val="nil"/>
            </w:tcBorders>
          </w:tcPr>
          <w:p w:rsidR="00821BD4" w:rsidRPr="00526653" w:rsidRDefault="00821BD4" w:rsidP="00526653">
            <w:pPr>
              <w:widowControl w:val="0"/>
              <w:autoSpaceDE w:val="0"/>
              <w:autoSpaceDN w:val="0"/>
              <w:adjustRightInd w:val="0"/>
              <w:spacing w:after="0" w:line="240" w:lineRule="auto"/>
              <w:jc w:val="center"/>
              <w:rPr>
                <w:rFonts w:ascii="Times New Roman" w:hAnsi="Times New Roman" w:cs="Times New Roman"/>
                <w:sz w:val="18"/>
                <w:szCs w:val="18"/>
              </w:rPr>
            </w:pPr>
          </w:p>
        </w:tc>
      </w:tr>
      <w:tr w:rsidR="007B6C5F" w:rsidRPr="00526653" w:rsidTr="005C31F8">
        <w:trPr>
          <w:jc w:val="center"/>
        </w:trPr>
        <w:tc>
          <w:tcPr>
            <w:tcW w:w="1656"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AD</w:t>
            </w:r>
          </w:p>
        </w:tc>
        <w:tc>
          <w:tcPr>
            <w:tcW w:w="936"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224,368</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4.097</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1.298</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3</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5</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5</w:t>
            </w:r>
          </w:p>
        </w:tc>
      </w:tr>
      <w:tr w:rsidR="007B6C5F" w:rsidRPr="00526653" w:rsidTr="005C31F8">
        <w:trPr>
          <w:jc w:val="center"/>
        </w:trPr>
        <w:tc>
          <w:tcPr>
            <w:tcW w:w="1656"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AS</w:t>
            </w:r>
          </w:p>
        </w:tc>
        <w:tc>
          <w:tcPr>
            <w:tcW w:w="936"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229,228</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0.630</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0.203</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0.540</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0.651</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0.683</w:t>
            </w:r>
          </w:p>
        </w:tc>
      </w:tr>
      <w:tr w:rsidR="007B6C5F" w:rsidRPr="00526653" w:rsidTr="005C31F8">
        <w:trPr>
          <w:jc w:val="center"/>
        </w:trPr>
        <w:tc>
          <w:tcPr>
            <w:tcW w:w="1656"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DISC</w:t>
            </w:r>
          </w:p>
        </w:tc>
        <w:tc>
          <w:tcPr>
            <w:tcW w:w="936"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217,001</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7.465</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1.845</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7</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7</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8</w:t>
            </w:r>
          </w:p>
        </w:tc>
      </w:tr>
      <w:tr w:rsidR="007B6C5F" w:rsidRPr="00526653" w:rsidTr="005C31F8">
        <w:trPr>
          <w:jc w:val="center"/>
        </w:trPr>
        <w:tc>
          <w:tcPr>
            <w:tcW w:w="1656"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ACCT</w:t>
            </w:r>
          </w:p>
        </w:tc>
        <w:tc>
          <w:tcPr>
            <w:tcW w:w="936"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216,852</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70.41</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6.473</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69</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71</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74</w:t>
            </w:r>
          </w:p>
        </w:tc>
      </w:tr>
      <w:tr w:rsidR="007B6C5F" w:rsidRPr="00526653" w:rsidTr="005C31F8">
        <w:tblPrEx>
          <w:tblBorders>
            <w:bottom w:val="single" w:sz="6" w:space="0" w:color="auto"/>
          </w:tblBorders>
        </w:tblPrEx>
        <w:trPr>
          <w:jc w:val="center"/>
        </w:trPr>
        <w:tc>
          <w:tcPr>
            <w:tcW w:w="1656"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EM</w:t>
            </w:r>
          </w:p>
        </w:tc>
        <w:tc>
          <w:tcPr>
            <w:tcW w:w="936"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209,844</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8.113</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7.643</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5.300</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13.50</w:t>
            </w:r>
          </w:p>
        </w:tc>
      </w:tr>
      <w:tr w:rsidR="007B6C5F" w:rsidRPr="00526653" w:rsidTr="005C31F8">
        <w:trPr>
          <w:jc w:val="center"/>
        </w:trPr>
        <w:tc>
          <w:tcPr>
            <w:tcW w:w="1656"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UK</w:t>
            </w:r>
          </w:p>
        </w:tc>
        <w:tc>
          <w:tcPr>
            <w:tcW w:w="936"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232,192</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0.727</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0.445</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w:t>
            </w:r>
          </w:p>
        </w:tc>
      </w:tr>
      <w:tr w:rsidR="007B6C5F" w:rsidRPr="00526653" w:rsidTr="005C31F8">
        <w:tblPrEx>
          <w:tblBorders>
            <w:bottom w:val="single" w:sz="6" w:space="0" w:color="auto"/>
          </w:tblBorders>
        </w:tblPrEx>
        <w:trPr>
          <w:jc w:val="center"/>
        </w:trPr>
        <w:tc>
          <w:tcPr>
            <w:tcW w:w="1656"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RULE</w:t>
            </w:r>
          </w:p>
        </w:tc>
        <w:tc>
          <w:tcPr>
            <w:tcW w:w="936"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232,192</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1.360</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0.653</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1.478</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1.605</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1.726</w:t>
            </w:r>
          </w:p>
        </w:tc>
      </w:tr>
      <w:tr w:rsidR="007B6C5F" w:rsidRPr="00526653" w:rsidTr="005C31F8">
        <w:trPr>
          <w:jc w:val="center"/>
        </w:trPr>
        <w:tc>
          <w:tcPr>
            <w:tcW w:w="1656"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EQUITY</w:t>
            </w:r>
          </w:p>
        </w:tc>
        <w:tc>
          <w:tcPr>
            <w:tcW w:w="936"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212,427</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112.4</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83.90</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72.45</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112.4</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137.6</w:t>
            </w:r>
          </w:p>
        </w:tc>
      </w:tr>
      <w:tr w:rsidR="007B6C5F" w:rsidRPr="00526653" w:rsidTr="005C31F8">
        <w:trPr>
          <w:jc w:val="center"/>
        </w:trPr>
        <w:tc>
          <w:tcPr>
            <w:tcW w:w="1656"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CREDIT</w:t>
            </w:r>
          </w:p>
        </w:tc>
        <w:tc>
          <w:tcPr>
            <w:tcW w:w="936"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209,317</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140.8</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54.19</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96.64</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150.5</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189.4</w:t>
            </w:r>
          </w:p>
        </w:tc>
      </w:tr>
      <w:tr w:rsidR="007B6C5F" w:rsidRPr="00526653" w:rsidTr="005C31F8">
        <w:trPr>
          <w:jc w:val="center"/>
        </w:trPr>
        <w:tc>
          <w:tcPr>
            <w:tcW w:w="1656"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FD</w:t>
            </w:r>
          </w:p>
        </w:tc>
        <w:tc>
          <w:tcPr>
            <w:tcW w:w="936"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189,751</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252.0</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117.1</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167.9</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274.4</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317.7</w:t>
            </w:r>
          </w:p>
        </w:tc>
      </w:tr>
      <w:tr w:rsidR="007B6C5F" w:rsidRPr="00526653" w:rsidTr="005C31F8">
        <w:trPr>
          <w:jc w:val="center"/>
        </w:trPr>
        <w:tc>
          <w:tcPr>
            <w:tcW w:w="1656" w:type="dxa"/>
            <w:tcBorders>
              <w:top w:val="nil"/>
              <w:left w:val="nil"/>
              <w:bottom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IPO</w:t>
            </w:r>
          </w:p>
        </w:tc>
        <w:tc>
          <w:tcPr>
            <w:tcW w:w="936"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224,368</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5.491</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2.859</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3.778</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5.472</w:t>
            </w:r>
          </w:p>
        </w:tc>
        <w:tc>
          <w:tcPr>
            <w:tcW w:w="1152" w:type="dxa"/>
            <w:tcBorders>
              <w:top w:val="nil"/>
              <w:left w:val="nil"/>
              <w:bottom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6.332</w:t>
            </w:r>
          </w:p>
        </w:tc>
      </w:tr>
      <w:tr w:rsidR="007B6C5F" w:rsidRPr="00526653" w:rsidTr="005C31F8">
        <w:trPr>
          <w:jc w:val="center"/>
        </w:trPr>
        <w:tc>
          <w:tcPr>
            <w:tcW w:w="1656" w:type="dxa"/>
            <w:tcBorders>
              <w:top w:val="nil"/>
              <w:left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TAX_C</w:t>
            </w:r>
          </w:p>
        </w:tc>
        <w:tc>
          <w:tcPr>
            <w:tcW w:w="936"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194,996</w:t>
            </w:r>
          </w:p>
        </w:tc>
        <w:tc>
          <w:tcPr>
            <w:tcW w:w="1152"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29.32</w:t>
            </w:r>
          </w:p>
        </w:tc>
        <w:tc>
          <w:tcPr>
            <w:tcW w:w="1152"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7.124</w:t>
            </w:r>
          </w:p>
        </w:tc>
        <w:tc>
          <w:tcPr>
            <w:tcW w:w="1152"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25</w:t>
            </w:r>
          </w:p>
        </w:tc>
        <w:tc>
          <w:tcPr>
            <w:tcW w:w="1152"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34.43</w:t>
            </w:r>
          </w:p>
        </w:tc>
        <w:tc>
          <w:tcPr>
            <w:tcW w:w="1152"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35</w:t>
            </w:r>
          </w:p>
        </w:tc>
      </w:tr>
      <w:tr w:rsidR="007B6C5F" w:rsidRPr="00526653" w:rsidTr="006E7689">
        <w:trPr>
          <w:jc w:val="center"/>
        </w:trPr>
        <w:tc>
          <w:tcPr>
            <w:tcW w:w="1656" w:type="dxa"/>
            <w:tcBorders>
              <w:top w:val="nil"/>
              <w:left w:val="nil"/>
              <w:right w:val="nil"/>
            </w:tcBorders>
          </w:tcPr>
          <w:p w:rsidR="007B6C5F" w:rsidRPr="007B6C5F" w:rsidRDefault="007B6C5F" w:rsidP="007B6C5F">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GDP</w:t>
            </w:r>
          </w:p>
        </w:tc>
        <w:tc>
          <w:tcPr>
            <w:tcW w:w="936"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232,192</w:t>
            </w:r>
          </w:p>
        </w:tc>
        <w:tc>
          <w:tcPr>
            <w:tcW w:w="1152"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35,373</w:t>
            </w:r>
          </w:p>
        </w:tc>
        <w:tc>
          <w:tcPr>
            <w:tcW w:w="1152"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14,004</w:t>
            </w:r>
          </w:p>
        </w:tc>
        <w:tc>
          <w:tcPr>
            <w:tcW w:w="1152"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35,214</w:t>
            </w:r>
          </w:p>
        </w:tc>
        <w:tc>
          <w:tcPr>
            <w:tcW w:w="1152"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39,764</w:t>
            </w:r>
          </w:p>
        </w:tc>
        <w:tc>
          <w:tcPr>
            <w:tcW w:w="1152" w:type="dxa"/>
            <w:tcBorders>
              <w:top w:val="nil"/>
              <w:left w:val="nil"/>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44,861</w:t>
            </w:r>
          </w:p>
        </w:tc>
      </w:tr>
      <w:tr w:rsidR="007B6C5F" w:rsidRPr="00526653" w:rsidTr="00F67421">
        <w:trPr>
          <w:jc w:val="center"/>
        </w:trPr>
        <w:tc>
          <w:tcPr>
            <w:tcW w:w="1656" w:type="dxa"/>
            <w:tcBorders>
              <w:left w:val="nil"/>
              <w:bottom w:val="double" w:sz="4" w:space="0" w:color="auto"/>
              <w:right w:val="nil"/>
            </w:tcBorders>
          </w:tcPr>
          <w:p w:rsidR="007B6C5F" w:rsidRPr="007B6C5F" w:rsidRDefault="007B6C5F" w:rsidP="00A85E96">
            <w:pPr>
              <w:widowControl w:val="0"/>
              <w:autoSpaceDE w:val="0"/>
              <w:autoSpaceDN w:val="0"/>
              <w:adjustRightInd w:val="0"/>
              <w:spacing w:after="0" w:line="240" w:lineRule="auto"/>
              <w:contextualSpacing/>
              <w:rPr>
                <w:rFonts w:ascii="Times New Roman" w:hAnsi="Times New Roman" w:cs="Times New Roman"/>
                <w:sz w:val="18"/>
                <w:szCs w:val="18"/>
              </w:rPr>
            </w:pPr>
            <w:r w:rsidRPr="007B6C5F">
              <w:rPr>
                <w:rFonts w:ascii="Times New Roman" w:hAnsi="Times New Roman" w:cs="Times New Roman"/>
                <w:sz w:val="18"/>
                <w:szCs w:val="18"/>
              </w:rPr>
              <w:t>GDP</w:t>
            </w:r>
            <w:r w:rsidR="00A85E96">
              <w:rPr>
                <w:rFonts w:ascii="Times New Roman" w:hAnsi="Times New Roman" w:cs="Times New Roman"/>
                <w:sz w:val="18"/>
                <w:szCs w:val="18"/>
              </w:rPr>
              <w:t>_</w:t>
            </w:r>
            <w:r w:rsidRPr="007B6C5F">
              <w:rPr>
                <w:rFonts w:ascii="Times New Roman" w:hAnsi="Times New Roman" w:cs="Times New Roman"/>
                <w:sz w:val="18"/>
                <w:szCs w:val="18"/>
              </w:rPr>
              <w:t>GRO</w:t>
            </w:r>
          </w:p>
        </w:tc>
        <w:tc>
          <w:tcPr>
            <w:tcW w:w="936" w:type="dxa"/>
            <w:tcBorders>
              <w:left w:val="nil"/>
              <w:bottom w:val="double" w:sz="4" w:space="0" w:color="auto"/>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232,192</w:t>
            </w:r>
          </w:p>
        </w:tc>
        <w:tc>
          <w:tcPr>
            <w:tcW w:w="1152" w:type="dxa"/>
            <w:tcBorders>
              <w:left w:val="nil"/>
              <w:bottom w:val="double" w:sz="4" w:space="0" w:color="auto"/>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2.057</w:t>
            </w:r>
          </w:p>
        </w:tc>
        <w:tc>
          <w:tcPr>
            <w:tcW w:w="1152" w:type="dxa"/>
            <w:tcBorders>
              <w:left w:val="nil"/>
              <w:bottom w:val="double" w:sz="4" w:space="0" w:color="auto"/>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2.623</w:t>
            </w:r>
          </w:p>
        </w:tc>
        <w:tc>
          <w:tcPr>
            <w:tcW w:w="1152" w:type="dxa"/>
            <w:tcBorders>
              <w:left w:val="nil"/>
              <w:bottom w:val="double" w:sz="4" w:space="0" w:color="auto"/>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1.380</w:t>
            </w:r>
          </w:p>
        </w:tc>
        <w:tc>
          <w:tcPr>
            <w:tcW w:w="1152" w:type="dxa"/>
            <w:tcBorders>
              <w:left w:val="nil"/>
              <w:bottom w:val="double" w:sz="4" w:space="0" w:color="auto"/>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2.321</w:t>
            </w:r>
          </w:p>
        </w:tc>
        <w:tc>
          <w:tcPr>
            <w:tcW w:w="1152" w:type="dxa"/>
            <w:tcBorders>
              <w:left w:val="nil"/>
              <w:bottom w:val="double" w:sz="4" w:space="0" w:color="auto"/>
              <w:right w:val="nil"/>
            </w:tcBorders>
          </w:tcPr>
          <w:p w:rsidR="007B6C5F" w:rsidRPr="007B6C5F" w:rsidRDefault="007B6C5F" w:rsidP="007B6C5F">
            <w:pPr>
              <w:spacing w:after="0" w:line="240" w:lineRule="auto"/>
              <w:contextualSpacing/>
              <w:jc w:val="center"/>
              <w:rPr>
                <w:rFonts w:ascii="Times New Roman" w:hAnsi="Times New Roman" w:cs="Times New Roman"/>
                <w:sz w:val="18"/>
                <w:szCs w:val="18"/>
              </w:rPr>
            </w:pPr>
            <w:r w:rsidRPr="007B6C5F">
              <w:rPr>
                <w:rFonts w:ascii="Times New Roman" w:hAnsi="Times New Roman" w:cs="Times New Roman"/>
                <w:sz w:val="18"/>
                <w:szCs w:val="18"/>
              </w:rPr>
              <w:t>3.059</w:t>
            </w:r>
          </w:p>
        </w:tc>
      </w:tr>
    </w:tbl>
    <w:p w:rsidR="00821BD4" w:rsidRPr="00EE1141" w:rsidRDefault="00821BD4" w:rsidP="00821BD4">
      <w:pPr>
        <w:rPr>
          <w:rFonts w:ascii="Times New Roman" w:hAnsi="Times New Roman" w:cs="Times New Roman"/>
          <w:sz w:val="24"/>
        </w:rPr>
      </w:pPr>
      <w:r w:rsidRPr="00EE1141">
        <w:rPr>
          <w:rFonts w:ascii="Times New Roman" w:hAnsi="Times New Roman" w:cs="Times New Roman"/>
          <w:sz w:val="24"/>
        </w:rPr>
        <w:br w:type="page"/>
      </w:r>
    </w:p>
    <w:p w:rsidR="00821BD4" w:rsidRPr="00EE1141" w:rsidRDefault="00821BD4" w:rsidP="00821BD4">
      <w:pPr>
        <w:spacing w:after="120" w:line="240" w:lineRule="auto"/>
        <w:rPr>
          <w:rFonts w:ascii="Times New Roman" w:hAnsi="Times New Roman" w:cs="Times New Roman"/>
          <w:b/>
          <w:sz w:val="20"/>
        </w:rPr>
        <w:sectPr w:rsidR="00821BD4" w:rsidRPr="00EE1141" w:rsidSect="003465DB">
          <w:footerReference w:type="default" r:id="rId15"/>
          <w:footnotePr>
            <w:numFmt w:val="chicago"/>
          </w:footnotePr>
          <w:pgSz w:w="12240" w:h="15840"/>
          <w:pgMar w:top="1440" w:right="1440" w:bottom="1267" w:left="1440" w:header="720" w:footer="720" w:gutter="0"/>
          <w:cols w:space="720"/>
          <w:docGrid w:linePitch="360"/>
        </w:sectPr>
      </w:pPr>
    </w:p>
    <w:p w:rsidR="00821BD4" w:rsidRPr="00EE1141" w:rsidRDefault="00821BD4" w:rsidP="00821BD4">
      <w:pPr>
        <w:spacing w:after="120" w:line="240" w:lineRule="auto"/>
        <w:rPr>
          <w:rFonts w:ascii="Times New Roman" w:hAnsi="Times New Roman" w:cs="Times New Roman"/>
          <w:b/>
          <w:sz w:val="20"/>
        </w:rPr>
      </w:pPr>
      <w:r w:rsidRPr="00EE1141">
        <w:rPr>
          <w:rFonts w:ascii="Times New Roman" w:hAnsi="Times New Roman" w:cs="Times New Roman"/>
          <w:b/>
          <w:sz w:val="20"/>
        </w:rPr>
        <w:lastRenderedPageBreak/>
        <w:t>Table 2</w:t>
      </w:r>
      <w:r w:rsidR="002D0C41">
        <w:rPr>
          <w:rFonts w:ascii="Times New Roman" w:hAnsi="Times New Roman" w:cs="Times New Roman"/>
          <w:b/>
          <w:sz w:val="20"/>
        </w:rPr>
        <w:t xml:space="preserve"> – Summary Statistics for Country-level Variables</w:t>
      </w:r>
    </w:p>
    <w:p w:rsidR="00821BD4" w:rsidRPr="00EE1141" w:rsidRDefault="00821BD4" w:rsidP="00821BD4">
      <w:pPr>
        <w:spacing w:after="120" w:line="240" w:lineRule="auto"/>
        <w:rPr>
          <w:rFonts w:ascii="Times New Roman" w:hAnsi="Times New Roman" w:cs="Times New Roman"/>
          <w:b/>
          <w:sz w:val="20"/>
        </w:rPr>
      </w:pPr>
      <w:r w:rsidRPr="00EE1141">
        <w:rPr>
          <w:rFonts w:ascii="Times New Roman" w:hAnsi="Times New Roman" w:cs="Times New Roman"/>
          <w:b/>
          <w:sz w:val="20"/>
        </w:rPr>
        <w:t xml:space="preserve">Panel A: Country </w:t>
      </w:r>
      <w:r w:rsidR="00526653">
        <w:rPr>
          <w:rFonts w:ascii="Times New Roman" w:hAnsi="Times New Roman" w:cs="Times New Roman"/>
          <w:b/>
          <w:sz w:val="20"/>
        </w:rPr>
        <w:t>Characteristics</w:t>
      </w:r>
    </w:p>
    <w:p w:rsidR="00821BD4" w:rsidRPr="00EE1141" w:rsidRDefault="00821BD4" w:rsidP="00A87B9F">
      <w:pPr>
        <w:spacing w:after="120" w:line="240" w:lineRule="auto"/>
        <w:ind w:firstLine="288"/>
        <w:jc w:val="both"/>
        <w:rPr>
          <w:rFonts w:ascii="Times New Roman" w:hAnsi="Times New Roman" w:cs="Times New Roman"/>
          <w:sz w:val="16"/>
        </w:rPr>
      </w:pPr>
      <w:r w:rsidRPr="00EE1141">
        <w:rPr>
          <w:rFonts w:ascii="Times New Roman" w:hAnsi="Times New Roman" w:cs="Times New Roman"/>
          <w:sz w:val="16"/>
        </w:rPr>
        <w:t xml:space="preserve">This table provides the number of firms </w:t>
      </w:r>
      <w:r w:rsidR="005B77BC">
        <w:rPr>
          <w:rFonts w:ascii="Times New Roman" w:hAnsi="Times New Roman" w:cs="Times New Roman"/>
          <w:sz w:val="16"/>
        </w:rPr>
        <w:t xml:space="preserve">and observations and magnitude or </w:t>
      </w:r>
      <w:r w:rsidRPr="00EE1141">
        <w:rPr>
          <w:rFonts w:ascii="Times New Roman" w:hAnsi="Times New Roman" w:cs="Times New Roman"/>
          <w:sz w:val="16"/>
        </w:rPr>
        <w:t xml:space="preserve">averages (if time-varying) for country characteristics of the </w:t>
      </w:r>
      <w:r w:rsidR="00FB55ED">
        <w:rPr>
          <w:rFonts w:ascii="Times New Roman" w:hAnsi="Times New Roman" w:cs="Times New Roman"/>
          <w:sz w:val="16"/>
        </w:rPr>
        <w:t>41 countries</w:t>
      </w:r>
      <w:r w:rsidRPr="00EE1141">
        <w:rPr>
          <w:rFonts w:ascii="Times New Roman" w:hAnsi="Times New Roman" w:cs="Times New Roman"/>
          <w:sz w:val="16"/>
        </w:rPr>
        <w:t xml:space="preserve"> </w:t>
      </w:r>
      <w:r w:rsidR="000E266E">
        <w:rPr>
          <w:rFonts w:ascii="Times New Roman" w:hAnsi="Times New Roman" w:cs="Times New Roman"/>
          <w:sz w:val="16"/>
        </w:rPr>
        <w:t>in</w:t>
      </w:r>
      <w:r w:rsidRPr="00EE1141">
        <w:rPr>
          <w:rFonts w:ascii="Times New Roman" w:hAnsi="Times New Roman" w:cs="Times New Roman"/>
          <w:sz w:val="16"/>
        </w:rPr>
        <w:t xml:space="preserve"> our sample. The </w:t>
      </w:r>
      <w:r w:rsidR="005C31F8" w:rsidRPr="00EE1141">
        <w:rPr>
          <w:rFonts w:ascii="Times New Roman" w:hAnsi="Times New Roman" w:cs="Times New Roman"/>
          <w:sz w:val="16"/>
        </w:rPr>
        <w:t>country characteristics are investor rights</w:t>
      </w:r>
      <w:r w:rsidR="005C31F8">
        <w:rPr>
          <w:rFonts w:ascii="Times New Roman" w:hAnsi="Times New Roman" w:cs="Times New Roman"/>
          <w:sz w:val="16"/>
        </w:rPr>
        <w:t xml:space="preserve"> and protection</w:t>
      </w:r>
      <w:r w:rsidR="005C31F8" w:rsidRPr="00EE1141">
        <w:rPr>
          <w:rFonts w:ascii="Times New Roman" w:hAnsi="Times New Roman" w:cs="Times New Roman"/>
          <w:sz w:val="16"/>
        </w:rPr>
        <w:t>, development of financial market</w:t>
      </w:r>
      <w:r w:rsidR="005C31F8">
        <w:rPr>
          <w:rFonts w:ascii="Times New Roman" w:hAnsi="Times New Roman" w:cs="Times New Roman"/>
          <w:sz w:val="16"/>
        </w:rPr>
        <w:t xml:space="preserve">, and </w:t>
      </w:r>
      <w:r w:rsidR="005C31F8" w:rsidRPr="00EE1141">
        <w:rPr>
          <w:rFonts w:ascii="Times New Roman" w:hAnsi="Times New Roman" w:cs="Times New Roman"/>
          <w:sz w:val="16"/>
        </w:rPr>
        <w:t>GDP per capita in constant 2005 US$ (GDP</w:t>
      </w:r>
      <w:r w:rsidR="005C31F8">
        <w:rPr>
          <w:rFonts w:ascii="Times New Roman" w:hAnsi="Times New Roman" w:cs="Times New Roman"/>
          <w:sz w:val="16"/>
        </w:rPr>
        <w:t>), annual GDP growth (GDP_GRO), and country-level tax rate (TAX_C)</w:t>
      </w:r>
      <w:r w:rsidR="005C31F8" w:rsidRPr="00EE1141">
        <w:rPr>
          <w:rFonts w:ascii="Times New Roman" w:hAnsi="Times New Roman" w:cs="Times New Roman"/>
          <w:sz w:val="16"/>
        </w:rPr>
        <w:t xml:space="preserve">. The proxies for investor rights and protection include the anti-director rights index </w:t>
      </w:r>
      <w:r w:rsidR="005C31F8">
        <w:rPr>
          <w:rFonts w:ascii="Times New Roman" w:hAnsi="Times New Roman" w:cs="Times New Roman"/>
          <w:sz w:val="16"/>
        </w:rPr>
        <w:t xml:space="preserve">(AD), </w:t>
      </w:r>
      <w:r w:rsidR="005C31F8" w:rsidRPr="00EE1141">
        <w:rPr>
          <w:rFonts w:ascii="Times New Roman" w:hAnsi="Times New Roman" w:cs="Times New Roman"/>
          <w:sz w:val="16"/>
        </w:rPr>
        <w:t xml:space="preserve">the anti-self-dealing index (AS), </w:t>
      </w:r>
      <w:r w:rsidR="005C31F8">
        <w:rPr>
          <w:rFonts w:ascii="Times New Roman" w:hAnsi="Times New Roman" w:cs="Times New Roman"/>
          <w:sz w:val="16"/>
        </w:rPr>
        <w:t>the</w:t>
      </w:r>
      <w:r w:rsidR="005C31F8" w:rsidRPr="00EE1141">
        <w:rPr>
          <w:rFonts w:ascii="Times New Roman" w:hAnsi="Times New Roman" w:cs="Times New Roman"/>
          <w:sz w:val="16"/>
        </w:rPr>
        <w:t xml:space="preserve"> extent of disclosure index (DISC)</w:t>
      </w:r>
      <w:r w:rsidR="005C31F8">
        <w:rPr>
          <w:rFonts w:ascii="Times New Roman" w:hAnsi="Times New Roman" w:cs="Times New Roman"/>
          <w:sz w:val="16"/>
        </w:rPr>
        <w:t xml:space="preserve">, </w:t>
      </w:r>
      <w:r w:rsidR="005C31F8" w:rsidRPr="00EE1141">
        <w:rPr>
          <w:rFonts w:ascii="Times New Roman" w:hAnsi="Times New Roman" w:cs="Times New Roman"/>
          <w:sz w:val="16"/>
        </w:rPr>
        <w:t>accounting quality (ACCT),</w:t>
      </w:r>
      <w:r w:rsidR="005C31F8">
        <w:rPr>
          <w:rFonts w:ascii="Times New Roman" w:hAnsi="Times New Roman" w:cs="Times New Roman"/>
          <w:sz w:val="16"/>
        </w:rPr>
        <w:t xml:space="preserve"> earnings management index (EM), </w:t>
      </w:r>
      <w:r w:rsidR="005C31F8" w:rsidRPr="00EE1141">
        <w:rPr>
          <w:rFonts w:ascii="Times New Roman" w:hAnsi="Times New Roman" w:cs="Times New Roman"/>
          <w:sz w:val="16"/>
        </w:rPr>
        <w:t>an indicator of whether the country has Engli</w:t>
      </w:r>
      <w:r w:rsidR="005C31F8">
        <w:rPr>
          <w:rFonts w:ascii="Times New Roman" w:hAnsi="Times New Roman" w:cs="Times New Roman"/>
          <w:sz w:val="16"/>
        </w:rPr>
        <w:t>sh Common Law legal origin (UK)</w:t>
      </w:r>
      <w:r w:rsidR="0078447C">
        <w:rPr>
          <w:rFonts w:ascii="Times New Roman" w:hAnsi="Times New Roman" w:cs="Times New Roman"/>
          <w:sz w:val="16"/>
        </w:rPr>
        <w:t>,</w:t>
      </w:r>
      <w:r w:rsidR="005C31F8">
        <w:rPr>
          <w:rFonts w:ascii="Times New Roman" w:hAnsi="Times New Roman" w:cs="Times New Roman"/>
          <w:sz w:val="16"/>
        </w:rPr>
        <w:t xml:space="preserve"> and the</w:t>
      </w:r>
      <w:r w:rsidR="005C31F8" w:rsidRPr="00EE1141">
        <w:rPr>
          <w:rFonts w:ascii="Times New Roman" w:hAnsi="Times New Roman" w:cs="Times New Roman"/>
          <w:sz w:val="16"/>
        </w:rPr>
        <w:t xml:space="preserve"> rule of law index (RULE</w:t>
      </w:r>
      <w:r w:rsidR="005C31F8">
        <w:rPr>
          <w:rFonts w:ascii="Times New Roman" w:hAnsi="Times New Roman" w:cs="Times New Roman"/>
          <w:sz w:val="16"/>
        </w:rPr>
        <w:t>). T</w:t>
      </w:r>
      <w:r w:rsidR="005C31F8" w:rsidRPr="00EE1141">
        <w:rPr>
          <w:rFonts w:ascii="Times New Roman" w:hAnsi="Times New Roman" w:cs="Times New Roman"/>
          <w:sz w:val="16"/>
        </w:rPr>
        <w:t>he development of financial market proxies include the ratio of stock market capitalization over GDP (EQUITY), the ratio of domestic credit to private sector over GDP (CREDIT), the combination of the two as a general measure of financial market development (F</w:t>
      </w:r>
      <w:r w:rsidR="005C31F8">
        <w:rPr>
          <w:rFonts w:ascii="Times New Roman" w:hAnsi="Times New Roman" w:cs="Times New Roman"/>
          <w:sz w:val="16"/>
        </w:rPr>
        <w:t>D</w:t>
      </w:r>
      <w:r w:rsidR="005C31F8" w:rsidRPr="00EE1141">
        <w:rPr>
          <w:rFonts w:ascii="Times New Roman" w:hAnsi="Times New Roman" w:cs="Times New Roman"/>
          <w:sz w:val="16"/>
        </w:rPr>
        <w:t>), and the number of IPOs per capita (IPO). The details of the</w:t>
      </w:r>
      <w:r w:rsidR="000E266E">
        <w:rPr>
          <w:rFonts w:ascii="Times New Roman" w:hAnsi="Times New Roman" w:cs="Times New Roman"/>
          <w:sz w:val="16"/>
        </w:rPr>
        <w:t xml:space="preserve"> country-level</w:t>
      </w:r>
      <w:r w:rsidR="005C31F8" w:rsidRPr="00EE1141">
        <w:rPr>
          <w:rFonts w:ascii="Times New Roman" w:hAnsi="Times New Roman" w:cs="Times New Roman"/>
          <w:sz w:val="16"/>
        </w:rPr>
        <w:t xml:space="preserve"> variables are provided in Appendix A.</w:t>
      </w:r>
      <w:r w:rsidR="005C31F8" w:rsidRPr="00EE1141">
        <w:rPr>
          <w:rFonts w:ascii="Times New Roman" w:hAnsi="Times New Roman" w:cs="Times New Roman"/>
          <w:b/>
          <w:sz w:val="16"/>
        </w:rPr>
        <w:t xml:space="preserve"> </w:t>
      </w:r>
      <w:r w:rsidR="005C31F8" w:rsidRPr="00EE1141">
        <w:rPr>
          <w:rFonts w:ascii="Times New Roman" w:hAnsi="Times New Roman" w:cs="Times New Roman"/>
          <w:sz w:val="16"/>
          <w:szCs w:val="16"/>
        </w:rPr>
        <w:t>Our sample includes 4</w:t>
      </w:r>
      <w:r w:rsidR="005C31F8">
        <w:rPr>
          <w:rFonts w:ascii="Times New Roman" w:hAnsi="Times New Roman" w:cs="Times New Roman"/>
          <w:sz w:val="16"/>
          <w:szCs w:val="16"/>
        </w:rPr>
        <w:t>1</w:t>
      </w:r>
      <w:r w:rsidR="005C31F8" w:rsidRPr="00EE1141">
        <w:rPr>
          <w:rFonts w:ascii="Times New Roman" w:hAnsi="Times New Roman" w:cs="Times New Roman"/>
          <w:sz w:val="16"/>
          <w:szCs w:val="16"/>
        </w:rPr>
        <w:t xml:space="preserve"> countries and covers the period 2005-2014 in fiscal years.</w:t>
      </w:r>
    </w:p>
    <w:tbl>
      <w:tblPr>
        <w:tblW w:w="13758" w:type="dxa"/>
        <w:jc w:val="center"/>
        <w:tblLayout w:type="fixed"/>
        <w:tblCellMar>
          <w:top w:w="29" w:type="dxa"/>
          <w:left w:w="29" w:type="dxa"/>
          <w:bottom w:w="29" w:type="dxa"/>
          <w:right w:w="29" w:type="dxa"/>
        </w:tblCellMar>
        <w:tblLook w:val="04A0" w:firstRow="1" w:lastRow="0" w:firstColumn="1" w:lastColumn="0" w:noHBand="0" w:noVBand="1"/>
        <w:tblDescription w:val="Procedure Print: Data Set GNEW.BY_COUNTRY_FINAL"/>
      </w:tblPr>
      <w:tblGrid>
        <w:gridCol w:w="368"/>
        <w:gridCol w:w="935"/>
        <w:gridCol w:w="720"/>
        <w:gridCol w:w="990"/>
        <w:gridCol w:w="540"/>
        <w:gridCol w:w="810"/>
        <w:gridCol w:w="900"/>
        <w:gridCol w:w="588"/>
        <w:gridCol w:w="826"/>
        <w:gridCol w:w="766"/>
        <w:gridCol w:w="766"/>
        <w:gridCol w:w="766"/>
        <w:gridCol w:w="707"/>
        <w:gridCol w:w="766"/>
        <w:gridCol w:w="665"/>
        <w:gridCol w:w="900"/>
        <w:gridCol w:w="890"/>
        <w:gridCol w:w="855"/>
      </w:tblGrid>
      <w:tr w:rsidR="005C31F8" w:rsidRPr="00F67421" w:rsidTr="005B77BC">
        <w:trPr>
          <w:tblHeader/>
          <w:jc w:val="center"/>
        </w:trPr>
        <w:tc>
          <w:tcPr>
            <w:tcW w:w="368" w:type="dxa"/>
            <w:tcBorders>
              <w:top w:val="doub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p>
        </w:tc>
        <w:tc>
          <w:tcPr>
            <w:tcW w:w="935" w:type="dxa"/>
            <w:tcBorders>
              <w:top w:val="doub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p>
        </w:tc>
        <w:tc>
          <w:tcPr>
            <w:tcW w:w="720" w:type="dxa"/>
            <w:tcBorders>
              <w:top w:val="doub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p>
        </w:tc>
        <w:tc>
          <w:tcPr>
            <w:tcW w:w="990" w:type="dxa"/>
            <w:tcBorders>
              <w:top w:val="doub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p>
        </w:tc>
        <w:tc>
          <w:tcPr>
            <w:tcW w:w="5196" w:type="dxa"/>
            <w:gridSpan w:val="7"/>
            <w:tcBorders>
              <w:top w:val="doub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Investor Rights and Protection</w:t>
            </w:r>
          </w:p>
        </w:tc>
        <w:tc>
          <w:tcPr>
            <w:tcW w:w="2904" w:type="dxa"/>
            <w:gridSpan w:val="4"/>
            <w:tcBorders>
              <w:top w:val="doub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Financial Market Development</w:t>
            </w:r>
          </w:p>
        </w:tc>
        <w:tc>
          <w:tcPr>
            <w:tcW w:w="2645" w:type="dxa"/>
            <w:gridSpan w:val="3"/>
            <w:tcBorders>
              <w:top w:val="doub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GDP &amp; Tax Rate</w:t>
            </w:r>
          </w:p>
        </w:tc>
      </w:tr>
      <w:tr w:rsidR="00E13B3E" w:rsidRPr="00F67421" w:rsidTr="005B77BC">
        <w:trPr>
          <w:tblHeader/>
          <w:jc w:val="center"/>
        </w:trPr>
        <w:tc>
          <w:tcPr>
            <w:tcW w:w="368" w:type="dxa"/>
            <w:tcBorders>
              <w:top w:val="single" w:sz="4" w:space="0" w:color="auto"/>
              <w:bottom w:val="single" w:sz="4" w:space="0" w:color="auto"/>
            </w:tcBorders>
            <w:vAlign w:val="center"/>
            <w:hideMark/>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p>
        </w:tc>
        <w:tc>
          <w:tcPr>
            <w:tcW w:w="935" w:type="dxa"/>
            <w:tcBorders>
              <w:top w:val="sing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Country</w:t>
            </w:r>
          </w:p>
        </w:tc>
        <w:tc>
          <w:tcPr>
            <w:tcW w:w="720" w:type="dxa"/>
            <w:tcBorders>
              <w:top w:val="sing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Number of firms</w:t>
            </w:r>
          </w:p>
        </w:tc>
        <w:tc>
          <w:tcPr>
            <w:tcW w:w="990" w:type="dxa"/>
            <w:tcBorders>
              <w:top w:val="sing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Number of observations</w:t>
            </w:r>
          </w:p>
        </w:tc>
        <w:tc>
          <w:tcPr>
            <w:tcW w:w="540" w:type="dxa"/>
            <w:tcBorders>
              <w:top w:val="single" w:sz="4" w:space="0" w:color="auto"/>
              <w:bottom w:val="single" w:sz="4" w:space="0" w:color="auto"/>
            </w:tcBorders>
            <w:vAlign w:val="center"/>
            <w:hideMark/>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AD</w:t>
            </w:r>
          </w:p>
        </w:tc>
        <w:tc>
          <w:tcPr>
            <w:tcW w:w="810" w:type="dxa"/>
            <w:tcBorders>
              <w:top w:val="single" w:sz="4" w:space="0" w:color="auto"/>
              <w:bottom w:val="single" w:sz="4" w:space="0" w:color="auto"/>
            </w:tcBorders>
            <w:vAlign w:val="center"/>
            <w:hideMark/>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AS</w:t>
            </w:r>
          </w:p>
        </w:tc>
        <w:tc>
          <w:tcPr>
            <w:tcW w:w="900" w:type="dxa"/>
            <w:tcBorders>
              <w:top w:val="sing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DIS</w:t>
            </w:r>
          </w:p>
        </w:tc>
        <w:tc>
          <w:tcPr>
            <w:tcW w:w="588" w:type="dxa"/>
            <w:tcBorders>
              <w:top w:val="sing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ACCT</w:t>
            </w:r>
          </w:p>
        </w:tc>
        <w:tc>
          <w:tcPr>
            <w:tcW w:w="826" w:type="dxa"/>
            <w:tcBorders>
              <w:top w:val="sing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EM</w:t>
            </w:r>
          </w:p>
        </w:tc>
        <w:tc>
          <w:tcPr>
            <w:tcW w:w="766" w:type="dxa"/>
            <w:tcBorders>
              <w:top w:val="sing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UK</w:t>
            </w:r>
          </w:p>
        </w:tc>
        <w:tc>
          <w:tcPr>
            <w:tcW w:w="766" w:type="dxa"/>
            <w:tcBorders>
              <w:top w:val="sing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RULE</w:t>
            </w:r>
          </w:p>
        </w:tc>
        <w:tc>
          <w:tcPr>
            <w:tcW w:w="766" w:type="dxa"/>
            <w:tcBorders>
              <w:top w:val="single" w:sz="4" w:space="0" w:color="auto"/>
              <w:bottom w:val="single" w:sz="4" w:space="0" w:color="auto"/>
            </w:tcBorders>
            <w:vAlign w:val="center"/>
            <w:hideMark/>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EQUITY</w:t>
            </w:r>
          </w:p>
        </w:tc>
        <w:tc>
          <w:tcPr>
            <w:tcW w:w="707" w:type="dxa"/>
            <w:tcBorders>
              <w:top w:val="single" w:sz="4" w:space="0" w:color="auto"/>
              <w:bottom w:val="single" w:sz="4" w:space="0" w:color="auto"/>
            </w:tcBorders>
            <w:vAlign w:val="center"/>
            <w:hideMark/>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CREDIT</w:t>
            </w:r>
          </w:p>
        </w:tc>
        <w:tc>
          <w:tcPr>
            <w:tcW w:w="766" w:type="dxa"/>
            <w:tcBorders>
              <w:top w:val="sing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FD</w:t>
            </w:r>
          </w:p>
        </w:tc>
        <w:tc>
          <w:tcPr>
            <w:tcW w:w="665" w:type="dxa"/>
            <w:tcBorders>
              <w:top w:val="single" w:sz="4" w:space="0" w:color="auto"/>
              <w:bottom w:val="single" w:sz="4" w:space="0" w:color="auto"/>
            </w:tcBorders>
            <w:vAlign w:val="center"/>
            <w:hideMark/>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IPO</w:t>
            </w:r>
          </w:p>
        </w:tc>
        <w:tc>
          <w:tcPr>
            <w:tcW w:w="900" w:type="dxa"/>
            <w:tcBorders>
              <w:top w:val="sing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GDP</w:t>
            </w:r>
          </w:p>
        </w:tc>
        <w:tc>
          <w:tcPr>
            <w:tcW w:w="890" w:type="dxa"/>
            <w:tcBorders>
              <w:top w:val="sing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GDP_GRO</w:t>
            </w:r>
          </w:p>
        </w:tc>
        <w:tc>
          <w:tcPr>
            <w:tcW w:w="855" w:type="dxa"/>
            <w:tcBorders>
              <w:top w:val="single" w:sz="4" w:space="0" w:color="auto"/>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TAX_C</w:t>
            </w:r>
          </w:p>
        </w:tc>
      </w:tr>
      <w:tr w:rsidR="00E13B3E" w:rsidRPr="00F67421" w:rsidTr="005B77BC">
        <w:trPr>
          <w:jc w:val="center"/>
        </w:trPr>
        <w:tc>
          <w:tcPr>
            <w:tcW w:w="368" w:type="dxa"/>
            <w:tcBorders>
              <w:top w:val="single" w:sz="4" w:space="0" w:color="auto"/>
            </w:tcBorders>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1</w:t>
            </w:r>
          </w:p>
        </w:tc>
        <w:tc>
          <w:tcPr>
            <w:tcW w:w="935" w:type="dxa"/>
            <w:tcBorders>
              <w:top w:val="single" w:sz="4" w:space="0" w:color="auto"/>
            </w:tcBorders>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Australia</w:t>
            </w:r>
          </w:p>
        </w:tc>
        <w:tc>
          <w:tcPr>
            <w:tcW w:w="720" w:type="dxa"/>
            <w:tcBorders>
              <w:top w:val="single" w:sz="4" w:space="0" w:color="auto"/>
            </w:tcBorders>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575</w:t>
            </w:r>
          </w:p>
        </w:tc>
        <w:tc>
          <w:tcPr>
            <w:tcW w:w="990" w:type="dxa"/>
            <w:tcBorders>
              <w:top w:val="single" w:sz="4" w:space="0" w:color="auto"/>
            </w:tcBorders>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12140</w:t>
            </w:r>
          </w:p>
        </w:tc>
        <w:tc>
          <w:tcPr>
            <w:tcW w:w="540" w:type="dxa"/>
            <w:tcBorders>
              <w:top w:val="single" w:sz="4" w:space="0" w:color="auto"/>
            </w:tcBorders>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4</w:t>
            </w:r>
          </w:p>
        </w:tc>
        <w:tc>
          <w:tcPr>
            <w:tcW w:w="810" w:type="dxa"/>
            <w:tcBorders>
              <w:top w:val="single" w:sz="4" w:space="0" w:color="auto"/>
            </w:tcBorders>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0.790</w:t>
            </w:r>
          </w:p>
        </w:tc>
        <w:tc>
          <w:tcPr>
            <w:tcW w:w="900" w:type="dxa"/>
            <w:tcBorders>
              <w:top w:val="single" w:sz="4" w:space="0" w:color="auto"/>
            </w:tcBorders>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8.000</w:t>
            </w:r>
          </w:p>
        </w:tc>
        <w:tc>
          <w:tcPr>
            <w:tcW w:w="588" w:type="dxa"/>
            <w:tcBorders>
              <w:top w:val="single" w:sz="4" w:space="0" w:color="auto"/>
            </w:tcBorders>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75</w:t>
            </w:r>
          </w:p>
        </w:tc>
        <w:tc>
          <w:tcPr>
            <w:tcW w:w="826" w:type="dxa"/>
            <w:tcBorders>
              <w:top w:val="single" w:sz="4" w:space="0" w:color="auto"/>
            </w:tcBorders>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4.8</w:t>
            </w:r>
          </w:p>
        </w:tc>
        <w:tc>
          <w:tcPr>
            <w:tcW w:w="766" w:type="dxa"/>
            <w:tcBorders>
              <w:top w:val="single" w:sz="4" w:space="0" w:color="auto"/>
            </w:tcBorders>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766" w:type="dxa"/>
            <w:tcBorders>
              <w:top w:val="single" w:sz="4" w:space="0" w:color="auto"/>
            </w:tcBorders>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1.757</w:t>
            </w:r>
          </w:p>
        </w:tc>
        <w:tc>
          <w:tcPr>
            <w:tcW w:w="766" w:type="dxa"/>
            <w:tcBorders>
              <w:top w:val="single" w:sz="4" w:space="0" w:color="auto"/>
            </w:tcBorders>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109.150</w:t>
            </w:r>
          </w:p>
        </w:tc>
        <w:tc>
          <w:tcPr>
            <w:tcW w:w="707" w:type="dxa"/>
            <w:tcBorders>
              <w:top w:val="single" w:sz="4" w:space="0" w:color="auto"/>
            </w:tcBorders>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121.632</w:t>
            </w:r>
          </w:p>
        </w:tc>
        <w:tc>
          <w:tcPr>
            <w:tcW w:w="766" w:type="dxa"/>
            <w:tcBorders>
              <w:top w:val="single" w:sz="4" w:space="0" w:color="auto"/>
            </w:tcBorders>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230.780</w:t>
            </w:r>
          </w:p>
        </w:tc>
        <w:tc>
          <w:tcPr>
            <w:tcW w:w="665" w:type="dxa"/>
            <w:tcBorders>
              <w:top w:val="single" w:sz="4" w:space="0" w:color="auto"/>
            </w:tcBorders>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8.714</w:t>
            </w:r>
          </w:p>
        </w:tc>
        <w:tc>
          <w:tcPr>
            <w:tcW w:w="900" w:type="dxa"/>
            <w:tcBorders>
              <w:top w:val="single" w:sz="4" w:space="0" w:color="auto"/>
            </w:tcBorders>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36206.300</w:t>
            </w:r>
          </w:p>
        </w:tc>
        <w:tc>
          <w:tcPr>
            <w:tcW w:w="890" w:type="dxa"/>
            <w:tcBorders>
              <w:top w:val="single" w:sz="4" w:space="0" w:color="auto"/>
            </w:tcBorders>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2.839</w:t>
            </w:r>
          </w:p>
        </w:tc>
        <w:tc>
          <w:tcPr>
            <w:tcW w:w="855" w:type="dxa"/>
            <w:tcBorders>
              <w:top w:val="single" w:sz="4" w:space="0" w:color="auto"/>
            </w:tcBorders>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30.000</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2</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Austria</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39</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972</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0.209</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5.000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54</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28.3</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1.861</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30.680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95.227</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125.910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1.156</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40499.270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1.007</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25.009</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3</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Belgium</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60</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1512</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0.540</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8.000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61</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19.5</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1.375</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60.080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58.522</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118.600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2.348</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38053.550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0.979</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33.000</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4</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Brazil</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125</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2792</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0.291</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5.000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54</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-0.147</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54.120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55.995</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110.110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0.050</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5609.400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3.220</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5</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Canada</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894</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21740</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0.651</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8.000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74</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5.3</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1.780</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117.800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149.488</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266.650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8.568</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36961.270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1.836</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18.400</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6</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Chile</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81</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2228</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0.625</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7.522</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52</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1.315</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113.080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97.495</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210.570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0.510</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8879.650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4.176</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18.526</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7</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Denmark</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57</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1388</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0.466</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7.000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62</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16.0</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1.936</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60.240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185.793</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205.960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1.196</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48202.480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0.064</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25.239</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8</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Egypt</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17</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388</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0.491</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4.820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24</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-0.336</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36.860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32.936</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69.300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2.218</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1437.290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3.724</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9</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Finland</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93</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2768</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0.460</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6.000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77</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12.0</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1.960</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85.299</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3.778</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40130.210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0.506</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25.077</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10</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France</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416</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11612</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0.382</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9.000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69</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13.5</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1.445</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75.190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92.629</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167.820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2.310</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35534.340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0.818</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34.462</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11</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Germany</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347</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9204</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0.279</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5.000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62</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21.5</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1.682</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43.350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91.033</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134.380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2.784</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37599.290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1.279</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18.399</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12</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Greece</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124</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3000</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0.225</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1.936</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55</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28.3</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0.641</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38.970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98.293</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137.260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8.782</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21775.880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-1.873</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25.017</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13</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Hong Kong</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50</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1164</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0.964</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9.000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69</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19.5</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1.563</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1029.260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186.163</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1215.420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9.118</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31811.840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3.168</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14</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Indonesia</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181</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3972</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0.683</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9.733</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18.3</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-0.578</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41.650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31.130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72.780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1.674</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1634.430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5.708</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15</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Ireland</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46</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1156</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4</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0.787</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10.000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5.1</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1.728</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45.190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132.737</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177.930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6.090</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50515.710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1.465</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12.500</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16</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Israel</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130</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2808</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0.714</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7.000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64</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0.922</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77.890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68.640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146.530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0.394</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23299.800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3.755</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26.544</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17</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Italy</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118</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2964</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0.385</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7.000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62</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24.8</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0.382</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29.720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88.273</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117.990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5.938</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30757.600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-0.759</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28.515</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18</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Kuwait</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72</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1392</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4.000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0.423</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112.310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63.756</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162.560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28979.720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2.402</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19</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Mexico</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64</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1700</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0.178</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7.919</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60</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-0.561</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37.790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25.581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63.370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0.220</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8252.830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2.319</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29.363\</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20</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Malaysia</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337</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6624</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4</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0.948</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10.000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76</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14.8</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0.516</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142.530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111.880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254.410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6.182</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6656.610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5.010</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21</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Netherlands</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99</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2568</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0.209</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3.205</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64</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16.5</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1.810</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80.960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115.825</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196.780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2.630</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43570.730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0.819</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25.915</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22</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New Zealand</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66</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1576</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4</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0.950</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10.000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70</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1.878</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32.090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138.107</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167.470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0.060</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28440.320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1.745</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29.822</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23</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Norway</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79</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1688</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4</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0.435</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7.000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74</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5.8</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1.943</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55.130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82.789</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156.420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2.202</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66957.100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1.257</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27.710</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24</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Pakistan</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91</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1964</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0.408</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6.000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17.8</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-0.861</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24.630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20.801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48.460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0.398</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772.220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3.649</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lastRenderedPageBreak/>
              <w:t>25</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Peru</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37</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948</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0.408</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8.143</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38</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-0.652</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50.430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26.399</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76.830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0.038</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3563.750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6.122</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26</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Philippines</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70</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1600</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0.237</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2.000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65</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8.8</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-0.495</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72.400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32.364</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104.770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2.224</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1450.470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5.523</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27</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Poland</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199</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4716</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0.300</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7.000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0.641</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34.220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46.866</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81.090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10090.230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3.583</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19.000</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28</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Russia</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35</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572</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0.476</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6.000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-0.774</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36.670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50.458</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87.730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6762.210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2.211</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29</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Saudi Arabia</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79</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1704</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7.846</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0.214</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60.450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39.284</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100.380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15932.370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5.085</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30</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Singapore</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401</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9372</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4</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1.000</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10.000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78</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21.6</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1.712</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242.130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106.150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348.280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5.940</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34679.990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5.743</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31</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South Africa</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100</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2420</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0.814</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8.000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70</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5.6</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0.107</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236.240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147.287</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383.530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0.652</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5936.160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2.694</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32</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South Korea</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139</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1764</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0.461</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7.000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62</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26.8</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0.966</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91.720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136.776</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228.500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5.322</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23850.580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2.888</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22.000</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33</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Spain</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31</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664</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4</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0.370</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5.000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64</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18.6</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1.099</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78.950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160.373</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239.320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2.412</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25977.990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-0.729</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32.219</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34</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Sri Lanka</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63</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1260</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0.408</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4.886</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-0.099</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26.590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26.794</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53.380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0.500</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1749.660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6.535</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35</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Sweden</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146</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3700</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0.340</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6.707</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83</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6.8</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1.930</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122.959</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6.332</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45059.260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1.533</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25.892</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36</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Switzerland</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104</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2740</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0.267</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68</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22.0</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1.812</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207.300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160.924</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368.230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7.108</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58256.550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1.878</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8.500</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37</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Thailand</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188</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4748</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0.849</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10.000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64</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18.3</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-0.149</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78.020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123.151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201.170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0.822</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3435.990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3.420</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38</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Turkey</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85</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1724</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0.426</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8.744</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51</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0.070</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30.920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50.851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81.770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1.482</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8122.750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3.685</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20.415</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39</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United Kingdom</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693</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16656</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0.927</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10.000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78</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7.0</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1.708</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112.210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174.822</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291.020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11.266</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40314.140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1.090</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26.635</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40</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United States</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3381</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92852</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5</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0.651</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7.000</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71</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2.0</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1</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1.585</w:t>
            </w:r>
          </w:p>
        </w:tc>
        <w:tc>
          <w:tcPr>
            <w:tcW w:w="766"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120.840</w:t>
            </w:r>
          </w:p>
        </w:tc>
        <w:tc>
          <w:tcPr>
            <w:tcW w:w="707"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191.955</w:t>
            </w:r>
          </w:p>
        </w:tc>
        <w:tc>
          <w:tcPr>
            <w:tcW w:w="766"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310.470</w:t>
            </w:r>
          </w:p>
        </w:tc>
        <w:tc>
          <w:tcPr>
            <w:tcW w:w="665" w:type="dxa"/>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5.472</w:t>
            </w:r>
          </w:p>
        </w:tc>
        <w:tc>
          <w:tcPr>
            <w:tcW w:w="90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44767.780</w:t>
            </w:r>
          </w:p>
        </w:tc>
        <w:tc>
          <w:tcPr>
            <w:tcW w:w="890"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1.535</w:t>
            </w:r>
          </w:p>
        </w:tc>
        <w:tc>
          <w:tcPr>
            <w:tcW w:w="855" w:type="dxa"/>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35.000</w:t>
            </w:r>
          </w:p>
        </w:tc>
      </w:tr>
      <w:tr w:rsidR="00E13B3E" w:rsidRPr="00F67421" w:rsidTr="005B77BC">
        <w:trPr>
          <w:jc w:val="center"/>
        </w:trPr>
        <w:tc>
          <w:tcPr>
            <w:tcW w:w="368" w:type="dxa"/>
            <w:vAlign w:val="center"/>
            <w:hideMark/>
          </w:tcPr>
          <w:p w:rsidR="00E13B3E" w:rsidRPr="00F67421" w:rsidRDefault="00E13B3E" w:rsidP="005B77BC">
            <w:pPr>
              <w:spacing w:after="0" w:line="240" w:lineRule="auto"/>
              <w:jc w:val="center"/>
              <w:rPr>
                <w:rFonts w:ascii="Times New Roman" w:eastAsia="Times New Roman" w:hAnsi="Times New Roman" w:cs="Times New Roman"/>
                <w:b/>
                <w:bCs/>
                <w:sz w:val="16"/>
                <w:szCs w:val="16"/>
              </w:rPr>
            </w:pPr>
            <w:r w:rsidRPr="00F67421">
              <w:rPr>
                <w:rFonts w:ascii="Times New Roman" w:eastAsia="Times New Roman" w:hAnsi="Times New Roman" w:cs="Times New Roman"/>
                <w:b/>
                <w:bCs/>
                <w:sz w:val="16"/>
                <w:szCs w:val="16"/>
              </w:rPr>
              <w:t>41</w:t>
            </w:r>
          </w:p>
        </w:tc>
        <w:tc>
          <w:tcPr>
            <w:tcW w:w="935"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Vietnam</w:t>
            </w:r>
          </w:p>
        </w:tc>
        <w:tc>
          <w:tcPr>
            <w:tcW w:w="72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46</w:t>
            </w:r>
          </w:p>
        </w:tc>
        <w:tc>
          <w:tcPr>
            <w:tcW w:w="990"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728</w:t>
            </w:r>
          </w:p>
        </w:tc>
        <w:tc>
          <w:tcPr>
            <w:tcW w:w="540" w:type="dxa"/>
            <w:vAlign w:val="center"/>
            <w:hideMark/>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810" w:type="dxa"/>
            <w:vAlign w:val="center"/>
            <w:hideMark/>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w:t>
            </w:r>
          </w:p>
        </w:tc>
        <w:tc>
          <w:tcPr>
            <w:tcW w:w="900" w:type="dxa"/>
            <w:vAlign w:val="center"/>
          </w:tcPr>
          <w:p w:rsidR="00E13B3E" w:rsidRPr="00E13B3E" w:rsidRDefault="00E13B3E" w:rsidP="005B77BC">
            <w:pPr>
              <w:adjustRightInd w:val="0"/>
              <w:spacing w:after="0"/>
              <w:jc w:val="center"/>
              <w:rPr>
                <w:rFonts w:ascii="Times New Roman" w:hAnsi="Times New Roman" w:cs="Times New Roman"/>
                <w:color w:val="000000"/>
                <w:sz w:val="16"/>
                <w:szCs w:val="16"/>
              </w:rPr>
            </w:pPr>
            <w:r w:rsidRPr="00E13B3E">
              <w:rPr>
                <w:rFonts w:ascii="Times New Roman" w:hAnsi="Times New Roman" w:cs="Times New Roman"/>
                <w:color w:val="000000"/>
                <w:sz w:val="16"/>
                <w:szCs w:val="16"/>
              </w:rPr>
              <w:t>6.213</w:t>
            </w:r>
          </w:p>
        </w:tc>
        <w:tc>
          <w:tcPr>
            <w:tcW w:w="588"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82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w:t>
            </w:r>
          </w:p>
        </w:tc>
        <w:tc>
          <w:tcPr>
            <w:tcW w:w="766" w:type="dxa"/>
            <w:vAlign w:val="center"/>
          </w:tcPr>
          <w:p w:rsidR="00E13B3E" w:rsidRPr="00F67421" w:rsidRDefault="00E13B3E" w:rsidP="005B77BC">
            <w:pPr>
              <w:spacing w:after="0" w:line="240" w:lineRule="auto"/>
              <w:jc w:val="center"/>
              <w:rPr>
                <w:rFonts w:ascii="Times New Roman" w:hAnsi="Times New Roman" w:cs="Times New Roman"/>
                <w:sz w:val="16"/>
                <w:szCs w:val="16"/>
              </w:rPr>
            </w:pPr>
            <w:r w:rsidRPr="00F67421">
              <w:rPr>
                <w:rFonts w:ascii="Times New Roman" w:hAnsi="Times New Roman" w:cs="Times New Roman"/>
                <w:sz w:val="16"/>
                <w:szCs w:val="16"/>
              </w:rPr>
              <w:t>0</w:t>
            </w:r>
          </w:p>
        </w:tc>
        <w:tc>
          <w:tcPr>
            <w:tcW w:w="766" w:type="dxa"/>
            <w:tcBorders>
              <w:bottom w:val="single" w:sz="4" w:space="0" w:color="auto"/>
            </w:tcBorders>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-0.456</w:t>
            </w:r>
          </w:p>
        </w:tc>
        <w:tc>
          <w:tcPr>
            <w:tcW w:w="766" w:type="dxa"/>
            <w:tcBorders>
              <w:bottom w:val="single" w:sz="4" w:space="0" w:color="auto"/>
            </w:tcBorders>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22.630</w:t>
            </w:r>
          </w:p>
        </w:tc>
        <w:tc>
          <w:tcPr>
            <w:tcW w:w="707" w:type="dxa"/>
            <w:tcBorders>
              <w:bottom w:val="single" w:sz="4" w:space="0" w:color="auto"/>
            </w:tcBorders>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100.765</w:t>
            </w:r>
          </w:p>
        </w:tc>
        <w:tc>
          <w:tcPr>
            <w:tcW w:w="766" w:type="dxa"/>
            <w:tcBorders>
              <w:bottom w:val="single" w:sz="4" w:space="0" w:color="auto"/>
            </w:tcBorders>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124.710</w:t>
            </w:r>
          </w:p>
        </w:tc>
        <w:tc>
          <w:tcPr>
            <w:tcW w:w="665" w:type="dxa"/>
            <w:tcBorders>
              <w:bottom w:val="single" w:sz="4" w:space="0" w:color="auto"/>
            </w:tcBorders>
            <w:noWrap/>
            <w:vAlign w:val="center"/>
            <w:hideMark/>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c>
          <w:tcPr>
            <w:tcW w:w="900" w:type="dxa"/>
            <w:tcBorders>
              <w:bottom w:val="single" w:sz="4" w:space="0" w:color="auto"/>
            </w:tcBorders>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987.620</w:t>
            </w:r>
          </w:p>
        </w:tc>
        <w:tc>
          <w:tcPr>
            <w:tcW w:w="890" w:type="dxa"/>
            <w:tcBorders>
              <w:bottom w:val="single" w:sz="4" w:space="0" w:color="auto"/>
            </w:tcBorders>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5.782</w:t>
            </w:r>
          </w:p>
        </w:tc>
        <w:tc>
          <w:tcPr>
            <w:tcW w:w="855" w:type="dxa"/>
            <w:tcBorders>
              <w:bottom w:val="single" w:sz="4" w:space="0" w:color="auto"/>
            </w:tcBorders>
            <w:noWrap/>
            <w:vAlign w:val="center"/>
          </w:tcPr>
          <w:p w:rsidR="00E13B3E" w:rsidRPr="00E13B3E" w:rsidRDefault="00E13B3E" w:rsidP="005B77BC">
            <w:pPr>
              <w:spacing w:after="0"/>
              <w:jc w:val="center"/>
              <w:rPr>
                <w:rFonts w:ascii="Times New Roman" w:hAnsi="Times New Roman" w:cs="Times New Roman"/>
                <w:sz w:val="16"/>
                <w:szCs w:val="16"/>
              </w:rPr>
            </w:pPr>
            <w:r w:rsidRPr="00E13B3E">
              <w:rPr>
                <w:rFonts w:ascii="Times New Roman" w:hAnsi="Times New Roman" w:cs="Times New Roman"/>
                <w:sz w:val="16"/>
                <w:szCs w:val="16"/>
              </w:rPr>
              <w:t>.</w:t>
            </w:r>
          </w:p>
        </w:tc>
      </w:tr>
      <w:tr w:rsidR="00E13B3E" w:rsidRPr="00F67421" w:rsidTr="00F33A35">
        <w:trPr>
          <w:trHeight w:val="276"/>
          <w:jc w:val="center"/>
        </w:trPr>
        <w:tc>
          <w:tcPr>
            <w:tcW w:w="368"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p>
        </w:tc>
        <w:tc>
          <w:tcPr>
            <w:tcW w:w="935"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Min.</w:t>
            </w:r>
          </w:p>
        </w:tc>
        <w:tc>
          <w:tcPr>
            <w:tcW w:w="720"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Egypt</w:t>
            </w:r>
          </w:p>
        </w:tc>
        <w:tc>
          <w:tcPr>
            <w:tcW w:w="990"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Egypt</w:t>
            </w:r>
          </w:p>
        </w:tc>
        <w:tc>
          <w:tcPr>
            <w:tcW w:w="540"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Multi.</w:t>
            </w:r>
          </w:p>
        </w:tc>
        <w:tc>
          <w:tcPr>
            <w:tcW w:w="810"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Mexico</w:t>
            </w:r>
          </w:p>
        </w:tc>
        <w:tc>
          <w:tcPr>
            <w:tcW w:w="900"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Switzerland</w:t>
            </w:r>
          </w:p>
        </w:tc>
        <w:tc>
          <w:tcPr>
            <w:tcW w:w="588"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Egypt</w:t>
            </w:r>
          </w:p>
        </w:tc>
        <w:tc>
          <w:tcPr>
            <w:tcW w:w="826"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U.S.</w:t>
            </w:r>
          </w:p>
        </w:tc>
        <w:tc>
          <w:tcPr>
            <w:tcW w:w="766"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Multi.</w:t>
            </w:r>
          </w:p>
        </w:tc>
        <w:tc>
          <w:tcPr>
            <w:tcW w:w="766"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Pakistan</w:t>
            </w:r>
          </w:p>
        </w:tc>
        <w:tc>
          <w:tcPr>
            <w:tcW w:w="766"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Vietnam</w:t>
            </w:r>
          </w:p>
        </w:tc>
        <w:tc>
          <w:tcPr>
            <w:tcW w:w="707"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Pakistan</w:t>
            </w:r>
          </w:p>
        </w:tc>
        <w:tc>
          <w:tcPr>
            <w:tcW w:w="766"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Pakistan</w:t>
            </w:r>
          </w:p>
        </w:tc>
        <w:tc>
          <w:tcPr>
            <w:tcW w:w="665"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Peru</w:t>
            </w:r>
          </w:p>
        </w:tc>
        <w:tc>
          <w:tcPr>
            <w:tcW w:w="900"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Pakistan</w:t>
            </w:r>
          </w:p>
        </w:tc>
        <w:tc>
          <w:tcPr>
            <w:tcW w:w="890"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Greece</w:t>
            </w:r>
          </w:p>
        </w:tc>
        <w:tc>
          <w:tcPr>
            <w:tcW w:w="855" w:type="dxa"/>
            <w:tcBorders>
              <w:top w:val="single" w:sz="4" w:space="0" w:color="auto"/>
            </w:tcBorders>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U.S.</w:t>
            </w:r>
          </w:p>
        </w:tc>
      </w:tr>
      <w:tr w:rsidR="00E13B3E" w:rsidRPr="00F67421" w:rsidTr="005B77BC">
        <w:trPr>
          <w:jc w:val="center"/>
        </w:trPr>
        <w:tc>
          <w:tcPr>
            <w:tcW w:w="368"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p>
        </w:tc>
        <w:tc>
          <w:tcPr>
            <w:tcW w:w="935"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Max.</w:t>
            </w:r>
          </w:p>
        </w:tc>
        <w:tc>
          <w:tcPr>
            <w:tcW w:w="720"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U.S.</w:t>
            </w:r>
          </w:p>
        </w:tc>
        <w:tc>
          <w:tcPr>
            <w:tcW w:w="990"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U.S.</w:t>
            </w:r>
          </w:p>
        </w:tc>
        <w:tc>
          <w:tcPr>
            <w:tcW w:w="540"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Multi.</w:t>
            </w:r>
          </w:p>
        </w:tc>
        <w:tc>
          <w:tcPr>
            <w:tcW w:w="810"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Singapore</w:t>
            </w:r>
          </w:p>
        </w:tc>
        <w:tc>
          <w:tcPr>
            <w:tcW w:w="900"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Multi.</w:t>
            </w:r>
          </w:p>
        </w:tc>
        <w:tc>
          <w:tcPr>
            <w:tcW w:w="588"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Sweden</w:t>
            </w:r>
          </w:p>
        </w:tc>
        <w:tc>
          <w:tcPr>
            <w:tcW w:w="826"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Greece</w:t>
            </w:r>
          </w:p>
        </w:tc>
        <w:tc>
          <w:tcPr>
            <w:tcW w:w="766"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Multi.</w:t>
            </w:r>
          </w:p>
        </w:tc>
        <w:tc>
          <w:tcPr>
            <w:tcW w:w="766"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Finland</w:t>
            </w:r>
          </w:p>
        </w:tc>
        <w:tc>
          <w:tcPr>
            <w:tcW w:w="766"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Hong Kong</w:t>
            </w:r>
          </w:p>
        </w:tc>
        <w:tc>
          <w:tcPr>
            <w:tcW w:w="707"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U.S.</w:t>
            </w:r>
          </w:p>
        </w:tc>
        <w:tc>
          <w:tcPr>
            <w:tcW w:w="766"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Hong Kong</w:t>
            </w:r>
          </w:p>
        </w:tc>
        <w:tc>
          <w:tcPr>
            <w:tcW w:w="665"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U.K.</w:t>
            </w:r>
          </w:p>
        </w:tc>
        <w:tc>
          <w:tcPr>
            <w:tcW w:w="900"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Norway</w:t>
            </w:r>
          </w:p>
        </w:tc>
        <w:tc>
          <w:tcPr>
            <w:tcW w:w="890"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Sri Lanka</w:t>
            </w:r>
          </w:p>
        </w:tc>
        <w:tc>
          <w:tcPr>
            <w:tcW w:w="855" w:type="dxa"/>
            <w:tcBorders>
              <w:bottom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5B77BC">
              <w:rPr>
                <w:rFonts w:ascii="Times New Roman" w:eastAsia="Times New Roman" w:hAnsi="Times New Roman" w:cs="Times New Roman"/>
                <w:b/>
                <w:sz w:val="14"/>
                <w:szCs w:val="16"/>
              </w:rPr>
              <w:t>Switzerland</w:t>
            </w:r>
          </w:p>
        </w:tc>
      </w:tr>
      <w:tr w:rsidR="00E13B3E" w:rsidRPr="00F67421" w:rsidTr="005B77BC">
        <w:trPr>
          <w:jc w:val="center"/>
        </w:trPr>
        <w:tc>
          <w:tcPr>
            <w:tcW w:w="368"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p>
        </w:tc>
        <w:tc>
          <w:tcPr>
            <w:tcW w:w="935"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Mean</w:t>
            </w:r>
          </w:p>
        </w:tc>
        <w:tc>
          <w:tcPr>
            <w:tcW w:w="720"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242.88</w:t>
            </w:r>
          </w:p>
        </w:tc>
        <w:tc>
          <w:tcPr>
            <w:tcW w:w="990" w:type="dxa"/>
            <w:tcBorders>
              <w:top w:val="sing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6036.29</w:t>
            </w:r>
          </w:p>
        </w:tc>
        <w:tc>
          <w:tcPr>
            <w:tcW w:w="540" w:type="dxa"/>
            <w:tcBorders>
              <w:top w:val="sing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3.056</w:t>
            </w:r>
          </w:p>
        </w:tc>
        <w:tc>
          <w:tcPr>
            <w:tcW w:w="810" w:type="dxa"/>
            <w:tcBorders>
              <w:top w:val="sing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0.526</w:t>
            </w:r>
          </w:p>
        </w:tc>
        <w:tc>
          <w:tcPr>
            <w:tcW w:w="900" w:type="dxa"/>
            <w:tcBorders>
              <w:top w:val="sing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6.846</w:t>
            </w:r>
          </w:p>
        </w:tc>
        <w:tc>
          <w:tcPr>
            <w:tcW w:w="588" w:type="dxa"/>
            <w:tcBorders>
              <w:top w:val="sing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64.063</w:t>
            </w:r>
          </w:p>
        </w:tc>
        <w:tc>
          <w:tcPr>
            <w:tcW w:w="826" w:type="dxa"/>
            <w:tcBorders>
              <w:top w:val="sing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15.159</w:t>
            </w:r>
          </w:p>
        </w:tc>
        <w:tc>
          <w:tcPr>
            <w:tcW w:w="766" w:type="dxa"/>
            <w:tcBorders>
              <w:top w:val="sing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0.341</w:t>
            </w:r>
          </w:p>
        </w:tc>
        <w:tc>
          <w:tcPr>
            <w:tcW w:w="766" w:type="dxa"/>
            <w:tcBorders>
              <w:top w:val="sing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0.821</w:t>
            </w:r>
          </w:p>
        </w:tc>
        <w:tc>
          <w:tcPr>
            <w:tcW w:w="766" w:type="dxa"/>
            <w:tcBorders>
              <w:top w:val="sing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101.292</w:t>
            </w:r>
          </w:p>
        </w:tc>
        <w:tc>
          <w:tcPr>
            <w:tcW w:w="707" w:type="dxa"/>
            <w:tcBorders>
              <w:top w:val="sing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95.810</w:t>
            </w:r>
          </w:p>
        </w:tc>
        <w:tc>
          <w:tcPr>
            <w:tcW w:w="766" w:type="dxa"/>
            <w:tcBorders>
              <w:top w:val="sing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195.863</w:t>
            </w:r>
          </w:p>
        </w:tc>
        <w:tc>
          <w:tcPr>
            <w:tcW w:w="665" w:type="dxa"/>
            <w:tcBorders>
              <w:top w:val="sing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3.525</w:t>
            </w:r>
          </w:p>
        </w:tc>
        <w:tc>
          <w:tcPr>
            <w:tcW w:w="900" w:type="dxa"/>
            <w:tcBorders>
              <w:top w:val="sing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24475.008</w:t>
            </w:r>
          </w:p>
        </w:tc>
        <w:tc>
          <w:tcPr>
            <w:tcW w:w="890" w:type="dxa"/>
            <w:tcBorders>
              <w:top w:val="sing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2.627</w:t>
            </w:r>
          </w:p>
        </w:tc>
        <w:tc>
          <w:tcPr>
            <w:tcW w:w="855" w:type="dxa"/>
            <w:tcBorders>
              <w:top w:val="single" w:sz="4" w:space="0" w:color="auto"/>
            </w:tcBorders>
            <w:vAlign w:val="center"/>
          </w:tcPr>
          <w:p w:rsidR="005C31F8" w:rsidRPr="00F67421" w:rsidRDefault="005C31F8" w:rsidP="005B77BC">
            <w:pPr>
              <w:adjustRightInd w:val="0"/>
              <w:spacing w:after="0" w:line="240" w:lineRule="auto"/>
              <w:contextualSpacing/>
              <w:jc w:val="center"/>
              <w:rPr>
                <w:rFonts w:ascii="Times New Roman" w:hAnsi="Times New Roman" w:cs="Times New Roman"/>
                <w:b/>
                <w:sz w:val="16"/>
                <w:szCs w:val="16"/>
              </w:rPr>
            </w:pPr>
            <w:r w:rsidRPr="00F67421">
              <w:rPr>
                <w:rFonts w:ascii="Times New Roman" w:hAnsi="Times New Roman" w:cs="Times New Roman"/>
                <w:b/>
                <w:sz w:val="16"/>
                <w:szCs w:val="16"/>
              </w:rPr>
              <w:t>24.727</w:t>
            </w:r>
          </w:p>
        </w:tc>
      </w:tr>
      <w:tr w:rsidR="00E13B3E" w:rsidRPr="00F67421" w:rsidTr="005B77BC">
        <w:trPr>
          <w:jc w:val="center"/>
        </w:trPr>
        <w:tc>
          <w:tcPr>
            <w:tcW w:w="368" w:type="dxa"/>
            <w:tcBorders>
              <w:bottom w:val="doub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bCs/>
                <w:sz w:val="16"/>
                <w:szCs w:val="16"/>
              </w:rPr>
            </w:pPr>
          </w:p>
        </w:tc>
        <w:tc>
          <w:tcPr>
            <w:tcW w:w="935" w:type="dxa"/>
            <w:tcBorders>
              <w:bottom w:val="doub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r w:rsidRPr="00F67421">
              <w:rPr>
                <w:rFonts w:ascii="Times New Roman" w:eastAsia="Times New Roman" w:hAnsi="Times New Roman" w:cs="Times New Roman"/>
                <w:b/>
                <w:sz w:val="16"/>
                <w:szCs w:val="16"/>
              </w:rPr>
              <w:t>Standard Deviation</w:t>
            </w:r>
          </w:p>
        </w:tc>
        <w:tc>
          <w:tcPr>
            <w:tcW w:w="720" w:type="dxa"/>
            <w:tcBorders>
              <w:bottom w:val="doub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p>
        </w:tc>
        <w:tc>
          <w:tcPr>
            <w:tcW w:w="990" w:type="dxa"/>
            <w:tcBorders>
              <w:bottom w:val="double" w:sz="4" w:space="0" w:color="auto"/>
            </w:tcBorders>
            <w:vAlign w:val="center"/>
          </w:tcPr>
          <w:p w:rsidR="005C31F8" w:rsidRPr="00F67421" w:rsidRDefault="005C31F8" w:rsidP="005B77BC">
            <w:pPr>
              <w:spacing w:after="0" w:line="240" w:lineRule="auto"/>
              <w:jc w:val="center"/>
              <w:rPr>
                <w:rFonts w:ascii="Times New Roman" w:eastAsia="Times New Roman" w:hAnsi="Times New Roman" w:cs="Times New Roman"/>
                <w:b/>
                <w:sz w:val="16"/>
                <w:szCs w:val="16"/>
              </w:rPr>
            </w:pPr>
          </w:p>
        </w:tc>
        <w:tc>
          <w:tcPr>
            <w:tcW w:w="540" w:type="dxa"/>
            <w:tcBorders>
              <w:bottom w:val="doub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1.372</w:t>
            </w:r>
          </w:p>
        </w:tc>
        <w:tc>
          <w:tcPr>
            <w:tcW w:w="810" w:type="dxa"/>
            <w:tcBorders>
              <w:bottom w:val="doub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0.247</w:t>
            </w:r>
          </w:p>
        </w:tc>
        <w:tc>
          <w:tcPr>
            <w:tcW w:w="900" w:type="dxa"/>
            <w:tcBorders>
              <w:bottom w:val="doub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2.401</w:t>
            </w:r>
          </w:p>
        </w:tc>
        <w:tc>
          <w:tcPr>
            <w:tcW w:w="588" w:type="dxa"/>
            <w:tcBorders>
              <w:bottom w:val="doub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12.029</w:t>
            </w:r>
          </w:p>
        </w:tc>
        <w:tc>
          <w:tcPr>
            <w:tcW w:w="826" w:type="dxa"/>
            <w:tcBorders>
              <w:bottom w:val="doub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7.915</w:t>
            </w:r>
          </w:p>
        </w:tc>
        <w:tc>
          <w:tcPr>
            <w:tcW w:w="766" w:type="dxa"/>
            <w:tcBorders>
              <w:bottom w:val="doub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0.480</w:t>
            </w:r>
          </w:p>
        </w:tc>
        <w:tc>
          <w:tcPr>
            <w:tcW w:w="766" w:type="dxa"/>
            <w:tcBorders>
              <w:bottom w:val="doub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0.963</w:t>
            </w:r>
          </w:p>
        </w:tc>
        <w:tc>
          <w:tcPr>
            <w:tcW w:w="766" w:type="dxa"/>
            <w:tcBorders>
              <w:bottom w:val="doub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161.987</w:t>
            </w:r>
          </w:p>
        </w:tc>
        <w:tc>
          <w:tcPr>
            <w:tcW w:w="707" w:type="dxa"/>
            <w:tcBorders>
              <w:bottom w:val="doub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50.137</w:t>
            </w:r>
          </w:p>
        </w:tc>
        <w:tc>
          <w:tcPr>
            <w:tcW w:w="766" w:type="dxa"/>
            <w:tcBorders>
              <w:bottom w:val="doub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189.639</w:t>
            </w:r>
          </w:p>
        </w:tc>
        <w:tc>
          <w:tcPr>
            <w:tcW w:w="665" w:type="dxa"/>
            <w:tcBorders>
              <w:bottom w:val="doub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3.181</w:t>
            </w:r>
          </w:p>
        </w:tc>
        <w:tc>
          <w:tcPr>
            <w:tcW w:w="900" w:type="dxa"/>
            <w:tcBorders>
              <w:bottom w:val="doub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18462.171</w:t>
            </w:r>
          </w:p>
        </w:tc>
        <w:tc>
          <w:tcPr>
            <w:tcW w:w="890" w:type="dxa"/>
            <w:tcBorders>
              <w:bottom w:val="double" w:sz="4" w:space="0" w:color="auto"/>
            </w:tcBorders>
            <w:vAlign w:val="center"/>
          </w:tcPr>
          <w:p w:rsidR="005C31F8" w:rsidRPr="00F67421" w:rsidRDefault="005C31F8" w:rsidP="005B77BC">
            <w:pPr>
              <w:spacing w:after="0" w:line="240" w:lineRule="auto"/>
              <w:jc w:val="center"/>
              <w:rPr>
                <w:rFonts w:ascii="Times New Roman" w:hAnsi="Times New Roman" w:cs="Times New Roman"/>
                <w:b/>
                <w:sz w:val="16"/>
                <w:szCs w:val="16"/>
              </w:rPr>
            </w:pPr>
            <w:r w:rsidRPr="00F67421">
              <w:rPr>
                <w:rFonts w:ascii="Times New Roman" w:hAnsi="Times New Roman" w:cs="Times New Roman"/>
                <w:b/>
                <w:sz w:val="16"/>
                <w:szCs w:val="16"/>
              </w:rPr>
              <w:t>2.025</w:t>
            </w:r>
          </w:p>
        </w:tc>
        <w:tc>
          <w:tcPr>
            <w:tcW w:w="855" w:type="dxa"/>
            <w:tcBorders>
              <w:bottom w:val="double" w:sz="4" w:space="0" w:color="auto"/>
            </w:tcBorders>
            <w:vAlign w:val="center"/>
          </w:tcPr>
          <w:p w:rsidR="005C31F8" w:rsidRPr="00F67421" w:rsidRDefault="005C31F8" w:rsidP="005B77BC">
            <w:pPr>
              <w:adjustRightInd w:val="0"/>
              <w:spacing w:after="0" w:line="240" w:lineRule="auto"/>
              <w:contextualSpacing/>
              <w:jc w:val="center"/>
              <w:rPr>
                <w:rFonts w:ascii="Times New Roman" w:hAnsi="Times New Roman" w:cs="Times New Roman"/>
                <w:b/>
                <w:sz w:val="16"/>
                <w:szCs w:val="16"/>
              </w:rPr>
            </w:pPr>
            <w:r w:rsidRPr="00F67421">
              <w:rPr>
                <w:rFonts w:ascii="Times New Roman" w:hAnsi="Times New Roman" w:cs="Times New Roman"/>
                <w:b/>
                <w:sz w:val="16"/>
                <w:szCs w:val="16"/>
              </w:rPr>
              <w:t>6.749</w:t>
            </w:r>
          </w:p>
        </w:tc>
      </w:tr>
    </w:tbl>
    <w:p w:rsidR="00821BD4" w:rsidRPr="00EE1141" w:rsidRDefault="00821BD4" w:rsidP="00821BD4">
      <w:pPr>
        <w:rPr>
          <w:rFonts w:ascii="Times New Roman" w:hAnsi="Times New Roman" w:cs="Times New Roman"/>
        </w:rPr>
      </w:pPr>
      <w:r w:rsidRPr="00EE1141">
        <w:rPr>
          <w:rFonts w:ascii="Times New Roman" w:hAnsi="Times New Roman" w:cs="Times New Roman"/>
        </w:rPr>
        <w:br w:type="page"/>
      </w:r>
    </w:p>
    <w:p w:rsidR="00821BD4" w:rsidRPr="00EE1141" w:rsidRDefault="00821BD4" w:rsidP="00821BD4">
      <w:pPr>
        <w:spacing w:after="120" w:line="240" w:lineRule="auto"/>
        <w:rPr>
          <w:rFonts w:ascii="Times New Roman" w:hAnsi="Times New Roman" w:cs="Times New Roman"/>
          <w:b/>
          <w:sz w:val="20"/>
        </w:rPr>
      </w:pPr>
      <w:r w:rsidRPr="00EE1141">
        <w:rPr>
          <w:rFonts w:ascii="Times New Roman" w:hAnsi="Times New Roman" w:cs="Times New Roman"/>
          <w:b/>
          <w:sz w:val="20"/>
        </w:rPr>
        <w:lastRenderedPageBreak/>
        <w:t>Table 2</w:t>
      </w:r>
    </w:p>
    <w:p w:rsidR="00821BD4" w:rsidRPr="00EE1141" w:rsidRDefault="00821BD4" w:rsidP="00821BD4">
      <w:pPr>
        <w:spacing w:after="120" w:line="240" w:lineRule="auto"/>
        <w:rPr>
          <w:rFonts w:ascii="Times New Roman" w:hAnsi="Times New Roman" w:cs="Times New Roman"/>
          <w:b/>
          <w:sz w:val="20"/>
        </w:rPr>
      </w:pPr>
      <w:r w:rsidRPr="00EE1141">
        <w:rPr>
          <w:rFonts w:ascii="Times New Roman" w:hAnsi="Times New Roman" w:cs="Times New Roman"/>
          <w:b/>
          <w:sz w:val="20"/>
        </w:rPr>
        <w:t xml:space="preserve">Panel B: Correlations of </w:t>
      </w:r>
      <w:r w:rsidR="000E266E">
        <w:rPr>
          <w:rFonts w:ascii="Times New Roman" w:hAnsi="Times New Roman" w:cs="Times New Roman"/>
          <w:b/>
          <w:sz w:val="20"/>
        </w:rPr>
        <w:t>C</w:t>
      </w:r>
      <w:r w:rsidRPr="00EE1141">
        <w:rPr>
          <w:rFonts w:ascii="Times New Roman" w:hAnsi="Times New Roman" w:cs="Times New Roman"/>
          <w:b/>
          <w:sz w:val="20"/>
        </w:rPr>
        <w:t xml:space="preserve">ountry </w:t>
      </w:r>
      <w:r w:rsidR="000E266E">
        <w:rPr>
          <w:rFonts w:ascii="Times New Roman" w:hAnsi="Times New Roman" w:cs="Times New Roman"/>
          <w:b/>
          <w:sz w:val="20"/>
        </w:rPr>
        <w:t>C</w:t>
      </w:r>
      <w:r w:rsidRPr="00EE1141">
        <w:rPr>
          <w:rFonts w:ascii="Times New Roman" w:hAnsi="Times New Roman" w:cs="Times New Roman"/>
          <w:b/>
          <w:sz w:val="20"/>
        </w:rPr>
        <w:t>haracteristics</w:t>
      </w:r>
    </w:p>
    <w:p w:rsidR="00821BD4" w:rsidRPr="00EE1141" w:rsidRDefault="00821BD4" w:rsidP="003923A2">
      <w:pPr>
        <w:spacing w:after="240" w:line="240" w:lineRule="auto"/>
        <w:ind w:firstLine="288"/>
        <w:jc w:val="both"/>
        <w:rPr>
          <w:rFonts w:ascii="Times New Roman" w:hAnsi="Times New Roman" w:cs="Times New Roman"/>
          <w:sz w:val="16"/>
        </w:rPr>
      </w:pPr>
      <w:r w:rsidRPr="00EE1141">
        <w:rPr>
          <w:rFonts w:ascii="Times New Roman" w:hAnsi="Times New Roman" w:cs="Times New Roman"/>
          <w:sz w:val="16"/>
        </w:rPr>
        <w:t xml:space="preserve">This table reports the correlations among the country-level characteristics of the </w:t>
      </w:r>
      <w:r w:rsidR="00FB55ED">
        <w:rPr>
          <w:rFonts w:ascii="Times New Roman" w:hAnsi="Times New Roman" w:cs="Times New Roman"/>
          <w:sz w:val="16"/>
        </w:rPr>
        <w:t>41 countries</w:t>
      </w:r>
      <w:r w:rsidRPr="00EE1141">
        <w:rPr>
          <w:rFonts w:ascii="Times New Roman" w:hAnsi="Times New Roman" w:cs="Times New Roman"/>
          <w:sz w:val="16"/>
        </w:rPr>
        <w:t xml:space="preserve"> from our sample. </w:t>
      </w:r>
      <w:r w:rsidR="00C03D20">
        <w:rPr>
          <w:rFonts w:ascii="Times New Roman" w:hAnsi="Times New Roman" w:cs="Times New Roman"/>
          <w:sz w:val="16"/>
        </w:rPr>
        <w:t>T</w:t>
      </w:r>
      <w:r w:rsidR="00C03D20" w:rsidRPr="00EE1141">
        <w:rPr>
          <w:rFonts w:ascii="Times New Roman" w:hAnsi="Times New Roman" w:cs="Times New Roman"/>
          <w:sz w:val="16"/>
        </w:rPr>
        <w:t>he country characteristics are investor rights</w:t>
      </w:r>
      <w:r w:rsidR="00C03D20">
        <w:rPr>
          <w:rFonts w:ascii="Times New Roman" w:hAnsi="Times New Roman" w:cs="Times New Roman"/>
          <w:sz w:val="16"/>
        </w:rPr>
        <w:t xml:space="preserve"> and protection</w:t>
      </w:r>
      <w:r w:rsidR="00C03D20" w:rsidRPr="00EE1141">
        <w:rPr>
          <w:rFonts w:ascii="Times New Roman" w:hAnsi="Times New Roman" w:cs="Times New Roman"/>
          <w:sz w:val="16"/>
        </w:rPr>
        <w:t>, development of financial market</w:t>
      </w:r>
      <w:r w:rsidR="00C03D20">
        <w:rPr>
          <w:rFonts w:ascii="Times New Roman" w:hAnsi="Times New Roman" w:cs="Times New Roman"/>
          <w:sz w:val="16"/>
        </w:rPr>
        <w:t xml:space="preserve">, and </w:t>
      </w:r>
      <w:r w:rsidR="00C03D20" w:rsidRPr="00EE1141">
        <w:rPr>
          <w:rFonts w:ascii="Times New Roman" w:hAnsi="Times New Roman" w:cs="Times New Roman"/>
          <w:sz w:val="16"/>
        </w:rPr>
        <w:t>GDP per capita in constant 2005 US$ (GDP</w:t>
      </w:r>
      <w:r w:rsidR="00C03D20">
        <w:rPr>
          <w:rFonts w:ascii="Times New Roman" w:hAnsi="Times New Roman" w:cs="Times New Roman"/>
          <w:sz w:val="16"/>
        </w:rPr>
        <w:t>), annual GDP growth (GDP_GRO), and country-level tax rate (TAX_C)</w:t>
      </w:r>
      <w:r w:rsidR="00C03D20" w:rsidRPr="00EE1141">
        <w:rPr>
          <w:rFonts w:ascii="Times New Roman" w:hAnsi="Times New Roman" w:cs="Times New Roman"/>
          <w:sz w:val="16"/>
        </w:rPr>
        <w:t xml:space="preserve">. The proxies for investor rights and protection include the anti-director rights index </w:t>
      </w:r>
      <w:r w:rsidR="00C03D20">
        <w:rPr>
          <w:rFonts w:ascii="Times New Roman" w:hAnsi="Times New Roman" w:cs="Times New Roman"/>
          <w:sz w:val="16"/>
        </w:rPr>
        <w:t xml:space="preserve">(AD), </w:t>
      </w:r>
      <w:r w:rsidR="00C03D20" w:rsidRPr="00EE1141">
        <w:rPr>
          <w:rFonts w:ascii="Times New Roman" w:hAnsi="Times New Roman" w:cs="Times New Roman"/>
          <w:sz w:val="16"/>
        </w:rPr>
        <w:t xml:space="preserve">the anti-self-dealing index (AS), </w:t>
      </w:r>
      <w:r w:rsidR="00C03D20">
        <w:rPr>
          <w:rFonts w:ascii="Times New Roman" w:hAnsi="Times New Roman" w:cs="Times New Roman"/>
          <w:sz w:val="16"/>
        </w:rPr>
        <w:t>the</w:t>
      </w:r>
      <w:r w:rsidR="00C03D20" w:rsidRPr="00EE1141">
        <w:rPr>
          <w:rFonts w:ascii="Times New Roman" w:hAnsi="Times New Roman" w:cs="Times New Roman"/>
          <w:sz w:val="16"/>
        </w:rPr>
        <w:t xml:space="preserve"> extent of disclosure index (DISC)</w:t>
      </w:r>
      <w:r w:rsidR="00C03D20">
        <w:rPr>
          <w:rFonts w:ascii="Times New Roman" w:hAnsi="Times New Roman" w:cs="Times New Roman"/>
          <w:sz w:val="16"/>
        </w:rPr>
        <w:t xml:space="preserve">, </w:t>
      </w:r>
      <w:r w:rsidR="00C03D20" w:rsidRPr="00EE1141">
        <w:rPr>
          <w:rFonts w:ascii="Times New Roman" w:hAnsi="Times New Roman" w:cs="Times New Roman"/>
          <w:sz w:val="16"/>
        </w:rPr>
        <w:t>accounting quality (ACCT),</w:t>
      </w:r>
      <w:r w:rsidR="00C03D20">
        <w:rPr>
          <w:rFonts w:ascii="Times New Roman" w:hAnsi="Times New Roman" w:cs="Times New Roman"/>
          <w:sz w:val="16"/>
        </w:rPr>
        <w:t xml:space="preserve"> earnings management index (EM), </w:t>
      </w:r>
      <w:r w:rsidR="00C03D20" w:rsidRPr="00EE1141">
        <w:rPr>
          <w:rFonts w:ascii="Times New Roman" w:hAnsi="Times New Roman" w:cs="Times New Roman"/>
          <w:sz w:val="16"/>
        </w:rPr>
        <w:t>an indicator of whether the country has Engli</w:t>
      </w:r>
      <w:r w:rsidR="00C03D20">
        <w:rPr>
          <w:rFonts w:ascii="Times New Roman" w:hAnsi="Times New Roman" w:cs="Times New Roman"/>
          <w:sz w:val="16"/>
        </w:rPr>
        <w:t>sh Common Law legal origin (UK)</w:t>
      </w:r>
      <w:r w:rsidR="0078447C">
        <w:rPr>
          <w:rFonts w:ascii="Times New Roman" w:hAnsi="Times New Roman" w:cs="Times New Roman"/>
          <w:sz w:val="16"/>
        </w:rPr>
        <w:t>,</w:t>
      </w:r>
      <w:r w:rsidR="00C03D20">
        <w:rPr>
          <w:rFonts w:ascii="Times New Roman" w:hAnsi="Times New Roman" w:cs="Times New Roman"/>
          <w:sz w:val="16"/>
        </w:rPr>
        <w:t xml:space="preserve"> and the</w:t>
      </w:r>
      <w:r w:rsidR="00C03D20" w:rsidRPr="00EE1141">
        <w:rPr>
          <w:rFonts w:ascii="Times New Roman" w:hAnsi="Times New Roman" w:cs="Times New Roman"/>
          <w:sz w:val="16"/>
        </w:rPr>
        <w:t xml:space="preserve"> rule of law index (RULE</w:t>
      </w:r>
      <w:r w:rsidR="00C03D20">
        <w:rPr>
          <w:rFonts w:ascii="Times New Roman" w:hAnsi="Times New Roman" w:cs="Times New Roman"/>
          <w:sz w:val="16"/>
        </w:rPr>
        <w:t>). T</w:t>
      </w:r>
      <w:r w:rsidR="00C03D20" w:rsidRPr="00EE1141">
        <w:rPr>
          <w:rFonts w:ascii="Times New Roman" w:hAnsi="Times New Roman" w:cs="Times New Roman"/>
          <w:sz w:val="16"/>
        </w:rPr>
        <w:t>he development of financial market proxies include the ratio of stock market capitalization over GDP (EQUITY), the ratio of domestic credit to private sector over GDP (CREDIT), the combination of the two as a general measure of financial market development (F</w:t>
      </w:r>
      <w:r w:rsidR="00C03D20">
        <w:rPr>
          <w:rFonts w:ascii="Times New Roman" w:hAnsi="Times New Roman" w:cs="Times New Roman"/>
          <w:sz w:val="16"/>
        </w:rPr>
        <w:t>D</w:t>
      </w:r>
      <w:r w:rsidR="00C03D20" w:rsidRPr="00EE1141">
        <w:rPr>
          <w:rFonts w:ascii="Times New Roman" w:hAnsi="Times New Roman" w:cs="Times New Roman"/>
          <w:sz w:val="16"/>
        </w:rPr>
        <w:t>), and the number of IPOs per capita (IPO). The details of these variables are provided in Appendix A.</w:t>
      </w:r>
      <w:r w:rsidR="00C03D20" w:rsidRPr="00EE1141">
        <w:rPr>
          <w:rFonts w:ascii="Times New Roman" w:hAnsi="Times New Roman" w:cs="Times New Roman"/>
          <w:b/>
          <w:sz w:val="16"/>
        </w:rPr>
        <w:t xml:space="preserve"> </w:t>
      </w:r>
      <w:r w:rsidR="00C03D20" w:rsidRPr="00EE1141">
        <w:rPr>
          <w:rFonts w:ascii="Times New Roman" w:hAnsi="Times New Roman" w:cs="Times New Roman"/>
          <w:sz w:val="16"/>
          <w:szCs w:val="16"/>
        </w:rPr>
        <w:t>Our sample includes 4</w:t>
      </w:r>
      <w:r w:rsidR="00C03D20">
        <w:rPr>
          <w:rFonts w:ascii="Times New Roman" w:hAnsi="Times New Roman" w:cs="Times New Roman"/>
          <w:sz w:val="16"/>
          <w:szCs w:val="16"/>
        </w:rPr>
        <w:t>1</w:t>
      </w:r>
      <w:r w:rsidR="00C03D20" w:rsidRPr="00EE1141">
        <w:rPr>
          <w:rFonts w:ascii="Times New Roman" w:hAnsi="Times New Roman" w:cs="Times New Roman"/>
          <w:sz w:val="16"/>
          <w:szCs w:val="16"/>
        </w:rPr>
        <w:t xml:space="preserve"> countries and covers the period 2005-2014 in fiscal years.</w:t>
      </w:r>
      <w:r w:rsidR="00B27D30">
        <w:rPr>
          <w:rFonts w:ascii="Times New Roman" w:hAnsi="Times New Roman" w:cs="Times New Roman"/>
          <w:sz w:val="16"/>
        </w:rPr>
        <w:t xml:space="preserve"> </w:t>
      </w:r>
      <w:r w:rsidRPr="00EE1141">
        <w:rPr>
          <w:rFonts w:ascii="Times New Roman" w:hAnsi="Times New Roman" w:cs="Times New Roman"/>
          <w:sz w:val="16"/>
        </w:rPr>
        <w:t>The numbers in</w:t>
      </w:r>
      <w:r w:rsidR="004A27B0">
        <w:rPr>
          <w:rFonts w:ascii="Times New Roman" w:hAnsi="Times New Roman" w:cs="Times New Roman"/>
          <w:sz w:val="16"/>
        </w:rPr>
        <w:t xml:space="preserve"> the parentheses</w:t>
      </w:r>
      <w:r w:rsidRPr="00EE1141">
        <w:rPr>
          <w:rFonts w:ascii="Times New Roman" w:hAnsi="Times New Roman" w:cs="Times New Roman"/>
          <w:sz w:val="16"/>
        </w:rPr>
        <w:t xml:space="preserve"> below the coefficients are p-values for the pairwise correlations.</w:t>
      </w:r>
      <w:r w:rsidR="004A27B0">
        <w:rPr>
          <w:rFonts w:ascii="Times New Roman" w:hAnsi="Times New Roman" w:cs="Times New Roman"/>
          <w:sz w:val="16"/>
        </w:rPr>
        <w:t xml:space="preserve"> The coefficients with p-value below 0.05 are in boldface.</w:t>
      </w:r>
    </w:p>
    <w:tbl>
      <w:tblPr>
        <w:tblStyle w:val="a3"/>
        <w:tblW w:w="1485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914"/>
        <w:gridCol w:w="915"/>
        <w:gridCol w:w="913"/>
        <w:gridCol w:w="913"/>
        <w:gridCol w:w="913"/>
        <w:gridCol w:w="918"/>
        <w:gridCol w:w="916"/>
        <w:gridCol w:w="935"/>
        <w:gridCol w:w="935"/>
        <w:gridCol w:w="976"/>
        <w:gridCol w:w="1043"/>
        <w:gridCol w:w="1221"/>
        <w:gridCol w:w="989"/>
        <w:gridCol w:w="971"/>
      </w:tblGrid>
      <w:tr w:rsidR="000A2752" w:rsidRPr="009B02D5" w:rsidTr="00F33A35">
        <w:trPr>
          <w:trHeight w:hRule="exact" w:val="327"/>
          <w:jc w:val="center"/>
        </w:trPr>
        <w:tc>
          <w:tcPr>
            <w:tcW w:w="1383" w:type="dxa"/>
            <w:tcBorders>
              <w:top w:val="double" w:sz="4" w:space="0" w:color="auto"/>
              <w:bottom w:val="single" w:sz="4" w:space="0" w:color="auto"/>
            </w:tcBorders>
            <w:noWrap/>
            <w:vAlign w:val="center"/>
            <w:hideMark/>
          </w:tcPr>
          <w:p w:rsidR="000A2752" w:rsidRPr="00EA4DB4" w:rsidRDefault="000A2752" w:rsidP="00F33A35">
            <w:pPr>
              <w:jc w:val="center"/>
              <w:rPr>
                <w:rFonts w:ascii="Times New Roman" w:hAnsi="Times New Roman" w:cs="Times New Roman"/>
                <w:sz w:val="16"/>
                <w:szCs w:val="14"/>
              </w:rPr>
            </w:pPr>
          </w:p>
        </w:tc>
        <w:tc>
          <w:tcPr>
            <w:tcW w:w="925" w:type="dxa"/>
            <w:tcBorders>
              <w:top w:val="double" w:sz="4" w:space="0" w:color="auto"/>
              <w:bottom w:val="single" w:sz="4" w:space="0" w:color="auto"/>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AD</w:t>
            </w:r>
          </w:p>
        </w:tc>
        <w:tc>
          <w:tcPr>
            <w:tcW w:w="925" w:type="dxa"/>
            <w:tcBorders>
              <w:top w:val="double" w:sz="4" w:space="0" w:color="auto"/>
              <w:bottom w:val="single" w:sz="4" w:space="0" w:color="auto"/>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AS</w:t>
            </w:r>
          </w:p>
        </w:tc>
        <w:tc>
          <w:tcPr>
            <w:tcW w:w="924" w:type="dxa"/>
            <w:tcBorders>
              <w:top w:val="double" w:sz="4" w:space="0" w:color="auto"/>
              <w:bottom w:val="single" w:sz="4" w:space="0" w:color="auto"/>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DISC</w:t>
            </w:r>
          </w:p>
        </w:tc>
        <w:tc>
          <w:tcPr>
            <w:tcW w:w="924" w:type="dxa"/>
            <w:tcBorders>
              <w:top w:val="double" w:sz="4" w:space="0" w:color="auto"/>
              <w:bottom w:val="single" w:sz="4" w:space="0" w:color="auto"/>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ACCT</w:t>
            </w:r>
          </w:p>
        </w:tc>
        <w:tc>
          <w:tcPr>
            <w:tcW w:w="924" w:type="dxa"/>
            <w:tcBorders>
              <w:top w:val="double" w:sz="4" w:space="0" w:color="auto"/>
              <w:bottom w:val="single" w:sz="4" w:space="0" w:color="auto"/>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EM</w:t>
            </w:r>
          </w:p>
        </w:tc>
        <w:tc>
          <w:tcPr>
            <w:tcW w:w="926" w:type="dxa"/>
            <w:tcBorders>
              <w:top w:val="double" w:sz="4" w:space="0" w:color="auto"/>
              <w:bottom w:val="single" w:sz="4" w:space="0" w:color="auto"/>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EQUITY</w:t>
            </w:r>
          </w:p>
        </w:tc>
        <w:tc>
          <w:tcPr>
            <w:tcW w:w="925" w:type="dxa"/>
            <w:tcBorders>
              <w:top w:val="double" w:sz="4" w:space="0" w:color="auto"/>
              <w:bottom w:val="single" w:sz="4" w:space="0" w:color="auto"/>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CREDIT</w:t>
            </w:r>
          </w:p>
        </w:tc>
        <w:tc>
          <w:tcPr>
            <w:tcW w:w="935" w:type="dxa"/>
            <w:tcBorders>
              <w:top w:val="double" w:sz="4" w:space="0" w:color="auto"/>
              <w:bottom w:val="single" w:sz="4" w:space="0" w:color="auto"/>
            </w:tcBorders>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FD</w:t>
            </w:r>
          </w:p>
        </w:tc>
        <w:tc>
          <w:tcPr>
            <w:tcW w:w="935" w:type="dxa"/>
            <w:tcBorders>
              <w:top w:val="double" w:sz="4" w:space="0" w:color="auto"/>
              <w:bottom w:val="single" w:sz="4" w:space="0" w:color="auto"/>
            </w:tcBorders>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IPO</w:t>
            </w:r>
          </w:p>
        </w:tc>
        <w:tc>
          <w:tcPr>
            <w:tcW w:w="992" w:type="dxa"/>
            <w:tcBorders>
              <w:top w:val="double" w:sz="4" w:space="0" w:color="auto"/>
              <w:bottom w:val="single" w:sz="4" w:space="0" w:color="auto"/>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UK</w:t>
            </w:r>
          </w:p>
        </w:tc>
        <w:tc>
          <w:tcPr>
            <w:tcW w:w="1063" w:type="dxa"/>
            <w:tcBorders>
              <w:top w:val="double" w:sz="4" w:space="0" w:color="auto"/>
              <w:bottom w:val="single" w:sz="4" w:space="0" w:color="auto"/>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RULE</w:t>
            </w:r>
          </w:p>
        </w:tc>
        <w:tc>
          <w:tcPr>
            <w:tcW w:w="1096" w:type="dxa"/>
            <w:tcBorders>
              <w:top w:val="double" w:sz="4" w:space="0" w:color="auto"/>
              <w:bottom w:val="single" w:sz="4" w:space="0" w:color="auto"/>
            </w:tcBorders>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GDP_PERCAP</w:t>
            </w:r>
          </w:p>
        </w:tc>
        <w:tc>
          <w:tcPr>
            <w:tcW w:w="989" w:type="dxa"/>
            <w:tcBorders>
              <w:top w:val="double" w:sz="4" w:space="0" w:color="auto"/>
              <w:bottom w:val="single" w:sz="4" w:space="0" w:color="auto"/>
            </w:tcBorders>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GDP_GRO</w:t>
            </w:r>
          </w:p>
        </w:tc>
        <w:tc>
          <w:tcPr>
            <w:tcW w:w="989" w:type="dxa"/>
            <w:tcBorders>
              <w:top w:val="double" w:sz="4" w:space="0" w:color="auto"/>
              <w:bottom w:val="single" w:sz="4" w:space="0" w:color="auto"/>
            </w:tcBorders>
            <w:vAlign w:val="center"/>
          </w:tcPr>
          <w:p w:rsidR="000A2752" w:rsidRPr="00EA4DB4" w:rsidRDefault="00E531C1" w:rsidP="00F33A35">
            <w:pPr>
              <w:jc w:val="center"/>
              <w:rPr>
                <w:rFonts w:ascii="Times New Roman" w:hAnsi="Times New Roman" w:cs="Times New Roman"/>
                <w:sz w:val="16"/>
                <w:szCs w:val="14"/>
              </w:rPr>
            </w:pPr>
            <w:r w:rsidRPr="00EA4DB4">
              <w:rPr>
                <w:rFonts w:ascii="Times New Roman" w:hAnsi="Times New Roman" w:cs="Times New Roman"/>
                <w:sz w:val="16"/>
                <w:szCs w:val="14"/>
              </w:rPr>
              <w:t>TAX</w:t>
            </w:r>
            <w:r w:rsidR="005B77BC">
              <w:rPr>
                <w:rFonts w:ascii="Times New Roman" w:hAnsi="Times New Roman" w:cs="Times New Roman"/>
                <w:sz w:val="16"/>
                <w:szCs w:val="14"/>
              </w:rPr>
              <w:t>_C</w:t>
            </w: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AD</w:t>
            </w: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1.0000</w:t>
            </w:r>
          </w:p>
        </w:tc>
        <w:tc>
          <w:tcPr>
            <w:tcW w:w="925" w:type="dxa"/>
            <w:vAlign w:val="center"/>
          </w:tcPr>
          <w:p w:rsidR="000A2752" w:rsidRPr="00EA4DB4" w:rsidRDefault="000A2752" w:rsidP="00F33A35">
            <w:pPr>
              <w:jc w:val="center"/>
              <w:rPr>
                <w:rFonts w:ascii="Times New Roman" w:hAnsi="Times New Roman" w:cs="Times New Roman"/>
                <w:sz w:val="16"/>
                <w:szCs w:val="14"/>
              </w:rPr>
            </w:pP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6" w:type="dxa"/>
            <w:vAlign w:val="center"/>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sz w:val="16"/>
                <w:szCs w:val="14"/>
              </w:rPr>
            </w:pP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6" w:type="dxa"/>
            <w:vAlign w:val="center"/>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AS</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0.5553</w:t>
            </w: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1.0000</w:t>
            </w: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6" w:type="dxa"/>
            <w:vAlign w:val="center"/>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(0.0004)</w:t>
            </w:r>
          </w:p>
        </w:tc>
        <w:tc>
          <w:tcPr>
            <w:tcW w:w="925" w:type="dxa"/>
            <w:vAlign w:val="center"/>
          </w:tcPr>
          <w:p w:rsidR="000A2752" w:rsidRPr="00EA4DB4" w:rsidRDefault="000A2752" w:rsidP="00F33A35">
            <w:pPr>
              <w:jc w:val="center"/>
              <w:rPr>
                <w:rFonts w:ascii="Times New Roman" w:hAnsi="Times New Roman" w:cs="Times New Roman"/>
                <w:sz w:val="16"/>
                <w:szCs w:val="14"/>
              </w:rPr>
            </w:pP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6" w:type="dxa"/>
            <w:vAlign w:val="center"/>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DISC</w:t>
            </w: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0.3026</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0.7450</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1.0000</w:t>
            </w: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6" w:type="dxa"/>
            <w:vAlign w:val="center"/>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tcBorders>
              <w:bottom w:val="nil"/>
            </w:tcBorders>
            <w:noWrap/>
            <w:vAlign w:val="center"/>
          </w:tcPr>
          <w:p w:rsidR="000A2752" w:rsidRPr="00EA4DB4" w:rsidRDefault="000A2752" w:rsidP="00F33A35">
            <w:pPr>
              <w:jc w:val="center"/>
              <w:rPr>
                <w:rFonts w:ascii="Times New Roman" w:hAnsi="Times New Roman" w:cs="Times New Roman"/>
                <w:sz w:val="16"/>
                <w:szCs w:val="14"/>
              </w:rPr>
            </w:pPr>
          </w:p>
        </w:tc>
        <w:tc>
          <w:tcPr>
            <w:tcW w:w="925" w:type="dxa"/>
            <w:tcBorders>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(0.0729)</w:t>
            </w:r>
          </w:p>
        </w:tc>
        <w:tc>
          <w:tcPr>
            <w:tcW w:w="925" w:type="dxa"/>
            <w:tcBorders>
              <w:bottom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(&lt;.0001)</w:t>
            </w:r>
          </w:p>
        </w:tc>
        <w:tc>
          <w:tcPr>
            <w:tcW w:w="924" w:type="dxa"/>
            <w:tcBorders>
              <w:bottom w:val="nil"/>
            </w:tcBorders>
            <w:vAlign w:val="center"/>
          </w:tcPr>
          <w:p w:rsidR="000A2752" w:rsidRPr="00EA4DB4" w:rsidRDefault="000A2752" w:rsidP="00F33A35">
            <w:pPr>
              <w:jc w:val="center"/>
              <w:rPr>
                <w:rFonts w:ascii="Times New Roman" w:hAnsi="Times New Roman" w:cs="Times New Roman"/>
                <w:sz w:val="16"/>
                <w:szCs w:val="14"/>
              </w:rPr>
            </w:pPr>
          </w:p>
        </w:tc>
        <w:tc>
          <w:tcPr>
            <w:tcW w:w="924" w:type="dxa"/>
            <w:tcBorders>
              <w:bottom w:val="nil"/>
            </w:tcBorders>
            <w:vAlign w:val="center"/>
          </w:tcPr>
          <w:p w:rsidR="000A2752" w:rsidRPr="00EA4DB4" w:rsidRDefault="000A2752" w:rsidP="00F33A35">
            <w:pPr>
              <w:jc w:val="center"/>
              <w:rPr>
                <w:rFonts w:ascii="Times New Roman" w:hAnsi="Times New Roman" w:cs="Times New Roman"/>
                <w:sz w:val="16"/>
                <w:szCs w:val="14"/>
              </w:rPr>
            </w:pPr>
          </w:p>
        </w:tc>
        <w:tc>
          <w:tcPr>
            <w:tcW w:w="924" w:type="dxa"/>
            <w:tcBorders>
              <w:bottom w:val="nil"/>
            </w:tcBorders>
            <w:vAlign w:val="center"/>
          </w:tcPr>
          <w:p w:rsidR="000A2752" w:rsidRPr="00EA4DB4" w:rsidRDefault="000A2752" w:rsidP="00F33A35">
            <w:pPr>
              <w:jc w:val="center"/>
              <w:rPr>
                <w:rFonts w:ascii="Times New Roman" w:hAnsi="Times New Roman" w:cs="Times New Roman"/>
                <w:sz w:val="16"/>
                <w:szCs w:val="14"/>
              </w:rPr>
            </w:pPr>
          </w:p>
        </w:tc>
        <w:tc>
          <w:tcPr>
            <w:tcW w:w="926" w:type="dxa"/>
            <w:tcBorders>
              <w:bottom w:val="nil"/>
            </w:tcBorders>
            <w:vAlign w:val="center"/>
          </w:tcPr>
          <w:p w:rsidR="000A2752" w:rsidRPr="00EA4DB4" w:rsidRDefault="000A2752" w:rsidP="00F33A35">
            <w:pPr>
              <w:jc w:val="center"/>
              <w:rPr>
                <w:rFonts w:ascii="Times New Roman" w:hAnsi="Times New Roman" w:cs="Times New Roman"/>
                <w:sz w:val="16"/>
                <w:szCs w:val="14"/>
              </w:rPr>
            </w:pPr>
          </w:p>
        </w:tc>
        <w:tc>
          <w:tcPr>
            <w:tcW w:w="925" w:type="dxa"/>
            <w:tcBorders>
              <w:bottom w:val="nil"/>
            </w:tcBorders>
            <w:vAlign w:val="center"/>
          </w:tcPr>
          <w:p w:rsidR="000A2752" w:rsidRPr="00EA4DB4" w:rsidRDefault="000A2752" w:rsidP="00F33A35">
            <w:pPr>
              <w:jc w:val="center"/>
              <w:rPr>
                <w:rFonts w:ascii="Times New Roman" w:hAnsi="Times New Roman" w:cs="Times New Roman"/>
                <w:sz w:val="16"/>
                <w:szCs w:val="14"/>
              </w:rPr>
            </w:pPr>
          </w:p>
        </w:tc>
        <w:tc>
          <w:tcPr>
            <w:tcW w:w="935" w:type="dxa"/>
            <w:tcBorders>
              <w:bottom w:val="nil"/>
            </w:tcBorders>
            <w:noWrap/>
            <w:vAlign w:val="center"/>
          </w:tcPr>
          <w:p w:rsidR="000A2752" w:rsidRPr="00EA4DB4" w:rsidRDefault="000A2752" w:rsidP="00F33A35">
            <w:pPr>
              <w:jc w:val="center"/>
              <w:rPr>
                <w:rFonts w:ascii="Times New Roman" w:hAnsi="Times New Roman" w:cs="Times New Roman"/>
                <w:sz w:val="16"/>
                <w:szCs w:val="14"/>
              </w:rPr>
            </w:pPr>
          </w:p>
        </w:tc>
        <w:tc>
          <w:tcPr>
            <w:tcW w:w="935" w:type="dxa"/>
            <w:tcBorders>
              <w:bottom w:val="nil"/>
            </w:tcBorders>
            <w:noWrap/>
            <w:vAlign w:val="center"/>
          </w:tcPr>
          <w:p w:rsidR="000A2752" w:rsidRPr="00EA4DB4" w:rsidRDefault="000A2752" w:rsidP="00F33A35">
            <w:pPr>
              <w:jc w:val="center"/>
              <w:rPr>
                <w:rFonts w:ascii="Times New Roman" w:hAnsi="Times New Roman" w:cs="Times New Roman"/>
                <w:sz w:val="16"/>
                <w:szCs w:val="14"/>
              </w:rPr>
            </w:pPr>
          </w:p>
        </w:tc>
        <w:tc>
          <w:tcPr>
            <w:tcW w:w="992" w:type="dxa"/>
            <w:tcBorders>
              <w:bottom w:val="nil"/>
            </w:tcBorders>
            <w:vAlign w:val="center"/>
          </w:tcPr>
          <w:p w:rsidR="000A2752" w:rsidRPr="00EA4DB4" w:rsidRDefault="000A2752" w:rsidP="00F33A35">
            <w:pPr>
              <w:jc w:val="center"/>
              <w:rPr>
                <w:rFonts w:ascii="Times New Roman" w:hAnsi="Times New Roman" w:cs="Times New Roman"/>
                <w:sz w:val="16"/>
                <w:szCs w:val="14"/>
              </w:rPr>
            </w:pPr>
          </w:p>
        </w:tc>
        <w:tc>
          <w:tcPr>
            <w:tcW w:w="1063" w:type="dxa"/>
            <w:tcBorders>
              <w:bottom w:val="nil"/>
            </w:tcBorders>
            <w:vAlign w:val="center"/>
          </w:tcPr>
          <w:p w:rsidR="000A2752" w:rsidRPr="00EA4DB4" w:rsidRDefault="000A2752" w:rsidP="00F33A35">
            <w:pPr>
              <w:jc w:val="center"/>
              <w:rPr>
                <w:rFonts w:ascii="Times New Roman" w:hAnsi="Times New Roman" w:cs="Times New Roman"/>
                <w:sz w:val="16"/>
                <w:szCs w:val="14"/>
              </w:rPr>
            </w:pPr>
          </w:p>
        </w:tc>
        <w:tc>
          <w:tcPr>
            <w:tcW w:w="1096" w:type="dxa"/>
            <w:tcBorders>
              <w:bottom w:val="nil"/>
            </w:tcBorders>
            <w:noWrap/>
            <w:vAlign w:val="center"/>
          </w:tcPr>
          <w:p w:rsidR="000A2752" w:rsidRPr="00EA4DB4" w:rsidRDefault="000A2752" w:rsidP="00F33A35">
            <w:pPr>
              <w:jc w:val="center"/>
              <w:rPr>
                <w:rFonts w:ascii="Times New Roman" w:hAnsi="Times New Roman" w:cs="Times New Roman"/>
                <w:sz w:val="16"/>
                <w:szCs w:val="14"/>
              </w:rPr>
            </w:pPr>
          </w:p>
        </w:tc>
        <w:tc>
          <w:tcPr>
            <w:tcW w:w="989" w:type="dxa"/>
            <w:tcBorders>
              <w:bottom w:val="nil"/>
            </w:tcBorders>
            <w:noWrap/>
            <w:vAlign w:val="center"/>
          </w:tcPr>
          <w:p w:rsidR="000A2752" w:rsidRPr="00EA4DB4" w:rsidRDefault="000A2752" w:rsidP="00F33A35">
            <w:pPr>
              <w:jc w:val="center"/>
              <w:rPr>
                <w:rFonts w:ascii="Times New Roman" w:hAnsi="Times New Roman" w:cs="Times New Roman"/>
                <w:sz w:val="16"/>
                <w:szCs w:val="14"/>
              </w:rPr>
            </w:pPr>
          </w:p>
        </w:tc>
        <w:tc>
          <w:tcPr>
            <w:tcW w:w="989" w:type="dxa"/>
            <w:tcBorders>
              <w:bottom w:val="nil"/>
            </w:tcBorders>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ACCT</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0.4048</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0.3782</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0.2648</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1.0000</w:t>
            </w: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6" w:type="dxa"/>
            <w:vAlign w:val="center"/>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(0.0216)</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(0.0328)</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(0.1431)</w:t>
            </w: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6" w:type="dxa"/>
            <w:vAlign w:val="center"/>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EM</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-0.6233</w:t>
            </w: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-0.3377</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-0.2972</w:t>
            </w:r>
          </w:p>
        </w:tc>
        <w:tc>
          <w:tcPr>
            <w:tcW w:w="924"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-0.6992</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1.0000</w:t>
            </w:r>
          </w:p>
        </w:tc>
        <w:tc>
          <w:tcPr>
            <w:tcW w:w="926" w:type="dxa"/>
            <w:vAlign w:val="center"/>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hint="eastAsia"/>
                <w:b/>
                <w:sz w:val="16"/>
                <w:szCs w:val="14"/>
              </w:rPr>
              <w:t>(</w:t>
            </w:r>
            <w:r w:rsidRPr="00EA4DB4">
              <w:rPr>
                <w:rFonts w:ascii="Times New Roman" w:hAnsi="Times New Roman" w:cs="Times New Roman"/>
                <w:b/>
                <w:sz w:val="16"/>
                <w:szCs w:val="14"/>
              </w:rPr>
              <w:t>0.0005)</w:t>
            </w: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(0.0849)</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(0.1322)</w:t>
            </w:r>
          </w:p>
        </w:tc>
        <w:tc>
          <w:tcPr>
            <w:tcW w:w="924"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(0.0001)</w:t>
            </w:r>
          </w:p>
        </w:tc>
        <w:tc>
          <w:tcPr>
            <w:tcW w:w="924" w:type="dxa"/>
            <w:vAlign w:val="center"/>
          </w:tcPr>
          <w:p w:rsidR="000A2752" w:rsidRPr="00EA4DB4" w:rsidRDefault="000A2752" w:rsidP="00F33A35">
            <w:pPr>
              <w:jc w:val="center"/>
              <w:rPr>
                <w:rFonts w:ascii="Times New Roman" w:hAnsi="Times New Roman" w:cs="Times New Roman"/>
                <w:sz w:val="16"/>
                <w:szCs w:val="14"/>
              </w:rPr>
            </w:pPr>
          </w:p>
        </w:tc>
        <w:tc>
          <w:tcPr>
            <w:tcW w:w="926" w:type="dxa"/>
            <w:vAlign w:val="center"/>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EQUITY</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0.3616</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0.4206</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0.1504</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0.2488</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0.0243</w:t>
            </w:r>
          </w:p>
        </w:tc>
        <w:tc>
          <w:tcPr>
            <w:tcW w:w="926"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1.0000</w:t>
            </w:r>
          </w:p>
        </w:tc>
        <w:tc>
          <w:tcPr>
            <w:tcW w:w="925" w:type="dxa"/>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hint="eastAsia"/>
                <w:b/>
                <w:sz w:val="16"/>
                <w:szCs w:val="14"/>
              </w:rPr>
              <w:t>(</w:t>
            </w:r>
            <w:r w:rsidRPr="00EA4DB4">
              <w:rPr>
                <w:rFonts w:ascii="Times New Roman" w:hAnsi="Times New Roman" w:cs="Times New Roman"/>
                <w:b/>
                <w:sz w:val="16"/>
                <w:szCs w:val="14"/>
              </w:rPr>
              <w:t>0.0356)</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(0.0106)</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(0.3609)</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(0.1850)</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(0.9083)</w:t>
            </w:r>
          </w:p>
        </w:tc>
        <w:tc>
          <w:tcPr>
            <w:tcW w:w="926" w:type="dxa"/>
            <w:vAlign w:val="center"/>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CREDIT</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0.3965</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0.4146</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0.1362</w:t>
            </w:r>
          </w:p>
        </w:tc>
        <w:tc>
          <w:tcPr>
            <w:tcW w:w="924"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0.5332</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-0.2177</w:t>
            </w:r>
          </w:p>
        </w:tc>
        <w:tc>
          <w:tcPr>
            <w:tcW w:w="926"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0.4251</w:t>
            </w: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1.0000</w:t>
            </w: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(0.0167)</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(0.0096)</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(0.3957)</w:t>
            </w:r>
          </w:p>
        </w:tc>
        <w:tc>
          <w:tcPr>
            <w:tcW w:w="924"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(0.0017)</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(0.2753)</w:t>
            </w:r>
          </w:p>
        </w:tc>
        <w:tc>
          <w:tcPr>
            <w:tcW w:w="926"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(0.0070)</w:t>
            </w:r>
          </w:p>
        </w:tc>
        <w:tc>
          <w:tcPr>
            <w:tcW w:w="925" w:type="dxa"/>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FD</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0.4204</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0.4733</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0.1667</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0.3584</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-0.0307</w:t>
            </w:r>
          </w:p>
        </w:tc>
        <w:tc>
          <w:tcPr>
            <w:tcW w:w="926"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0.9722</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0.6232</w:t>
            </w:r>
          </w:p>
        </w:tc>
        <w:tc>
          <w:tcPr>
            <w:tcW w:w="935" w:type="dxa"/>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1.0000</w:t>
            </w: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(0.0133)</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(0.0036)</w:t>
            </w:r>
          </w:p>
        </w:tc>
        <w:tc>
          <w:tcPr>
            <w:tcW w:w="924"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(0.3103)</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(0.0518)</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(0.8840)</w:t>
            </w:r>
          </w:p>
        </w:tc>
        <w:tc>
          <w:tcPr>
            <w:tcW w:w="926"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(&lt;.0001)</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(&lt;.0001)</w:t>
            </w:r>
          </w:p>
        </w:tc>
        <w:tc>
          <w:tcPr>
            <w:tcW w:w="935" w:type="dxa"/>
            <w:noWrap/>
            <w:vAlign w:val="center"/>
            <w:hideMark/>
          </w:tcPr>
          <w:p w:rsidR="000A2752" w:rsidRPr="00EA4DB4" w:rsidRDefault="000A2752" w:rsidP="00F33A35">
            <w:pPr>
              <w:jc w:val="center"/>
              <w:rPr>
                <w:rFonts w:ascii="Times New Roman" w:hAnsi="Times New Roman" w:cs="Times New Roman"/>
                <w:sz w:val="16"/>
                <w:szCs w:val="14"/>
              </w:rPr>
            </w:pPr>
          </w:p>
        </w:tc>
        <w:tc>
          <w:tcPr>
            <w:tcW w:w="935" w:type="dxa"/>
            <w:noWrap/>
            <w:vAlign w:val="center"/>
          </w:tcPr>
          <w:p w:rsidR="000A2752" w:rsidRPr="00EA4DB4" w:rsidRDefault="000A2752" w:rsidP="00F33A35">
            <w:pPr>
              <w:jc w:val="center"/>
              <w:rPr>
                <w:rFonts w:ascii="Times New Roman" w:hAnsi="Times New Roman" w:cs="Times New Roman"/>
                <w:sz w:val="16"/>
                <w:szCs w:val="14"/>
              </w:rPr>
            </w:pP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IPO</w:t>
            </w: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0.2567</w:t>
            </w: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0.3008</w:t>
            </w:r>
          </w:p>
        </w:tc>
        <w:tc>
          <w:tcPr>
            <w:tcW w:w="924"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0.0452</w:t>
            </w:r>
          </w:p>
        </w:tc>
        <w:tc>
          <w:tcPr>
            <w:tcW w:w="924"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0.4697</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-0.1355</w:t>
            </w:r>
          </w:p>
        </w:tc>
        <w:tc>
          <w:tcPr>
            <w:tcW w:w="926"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0.4088</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0.5645</w:t>
            </w:r>
          </w:p>
        </w:tc>
        <w:tc>
          <w:tcPr>
            <w:tcW w:w="935" w:type="dxa"/>
            <w:noWrap/>
            <w:vAlign w:val="center"/>
            <w:hideMark/>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0.5009</w:t>
            </w:r>
          </w:p>
        </w:tc>
        <w:tc>
          <w:tcPr>
            <w:tcW w:w="935" w:type="dxa"/>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1.0000</w:t>
            </w: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(0.1308)</w:t>
            </w: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(0.0747)</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(0.7935)</w:t>
            </w:r>
          </w:p>
        </w:tc>
        <w:tc>
          <w:tcPr>
            <w:tcW w:w="924"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(0.0067)</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(0.5004)</w:t>
            </w:r>
          </w:p>
        </w:tc>
        <w:tc>
          <w:tcPr>
            <w:tcW w:w="926"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(0.0164)</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(0.0003)</w:t>
            </w:r>
          </w:p>
        </w:tc>
        <w:tc>
          <w:tcPr>
            <w:tcW w:w="935" w:type="dxa"/>
            <w:noWrap/>
            <w:vAlign w:val="center"/>
            <w:hideMark/>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(0.0025)</w:t>
            </w:r>
          </w:p>
        </w:tc>
        <w:tc>
          <w:tcPr>
            <w:tcW w:w="935" w:type="dxa"/>
            <w:noWrap/>
            <w:vAlign w:val="center"/>
            <w:hideMark/>
          </w:tcPr>
          <w:p w:rsidR="000A2752" w:rsidRPr="00EA4DB4" w:rsidRDefault="000A2752" w:rsidP="00F33A35">
            <w:pPr>
              <w:jc w:val="center"/>
              <w:rPr>
                <w:rFonts w:ascii="Times New Roman" w:hAnsi="Times New Roman" w:cs="Times New Roman"/>
                <w:sz w:val="16"/>
                <w:szCs w:val="14"/>
              </w:rPr>
            </w:pPr>
          </w:p>
        </w:tc>
        <w:tc>
          <w:tcPr>
            <w:tcW w:w="992" w:type="dxa"/>
            <w:vAlign w:val="center"/>
          </w:tcPr>
          <w:p w:rsidR="000A2752" w:rsidRPr="00EA4DB4" w:rsidRDefault="000A2752" w:rsidP="00F33A35">
            <w:pPr>
              <w:jc w:val="center"/>
              <w:rPr>
                <w:rFonts w:ascii="Times New Roman" w:hAnsi="Times New Roman" w:cs="Times New Roman"/>
                <w:sz w:val="16"/>
                <w:szCs w:val="14"/>
              </w:rPr>
            </w:pP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tcBorders>
              <w:top w:val="nil"/>
              <w:bottom w:val="nil"/>
            </w:tcBorders>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UK</w:t>
            </w:r>
          </w:p>
        </w:tc>
        <w:tc>
          <w:tcPr>
            <w:tcW w:w="925" w:type="dxa"/>
            <w:tcBorders>
              <w:top w:val="nil"/>
              <w:bottom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0.6411</w:t>
            </w:r>
          </w:p>
        </w:tc>
        <w:tc>
          <w:tcPr>
            <w:tcW w:w="925" w:type="dxa"/>
            <w:tcBorders>
              <w:top w:val="nil"/>
              <w:bottom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0.7797</w:t>
            </w:r>
          </w:p>
        </w:tc>
        <w:tc>
          <w:tcPr>
            <w:tcW w:w="924" w:type="dxa"/>
            <w:tcBorders>
              <w:top w:val="nil"/>
              <w:bottom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0.4844</w:t>
            </w:r>
          </w:p>
        </w:tc>
        <w:tc>
          <w:tcPr>
            <w:tcW w:w="924" w:type="dxa"/>
            <w:tcBorders>
              <w:top w:val="nil"/>
              <w:bottom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0.4685</w:t>
            </w:r>
          </w:p>
        </w:tc>
        <w:tc>
          <w:tcPr>
            <w:tcW w:w="924" w:type="dxa"/>
            <w:tcBorders>
              <w:top w:val="nil"/>
              <w:bottom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-0.4363</w:t>
            </w:r>
          </w:p>
        </w:tc>
        <w:tc>
          <w:tcPr>
            <w:tcW w:w="926" w:type="dxa"/>
            <w:tcBorders>
              <w:top w:val="nil"/>
              <w:bottom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0.3247</w:t>
            </w:r>
          </w:p>
        </w:tc>
        <w:tc>
          <w:tcPr>
            <w:tcW w:w="925" w:type="dxa"/>
            <w:tcBorders>
              <w:top w:val="nil"/>
              <w:bottom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0.3744</w:t>
            </w:r>
          </w:p>
        </w:tc>
        <w:tc>
          <w:tcPr>
            <w:tcW w:w="935" w:type="dxa"/>
            <w:tcBorders>
              <w:top w:val="nil"/>
              <w:bottom w:val="nil"/>
            </w:tcBorders>
            <w:noWrap/>
            <w:vAlign w:val="center"/>
            <w:hideMark/>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0.3843</w:t>
            </w:r>
          </w:p>
        </w:tc>
        <w:tc>
          <w:tcPr>
            <w:tcW w:w="935" w:type="dxa"/>
            <w:tcBorders>
              <w:top w:val="nil"/>
              <w:bottom w:val="nil"/>
            </w:tcBorders>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0.2694</w:t>
            </w:r>
          </w:p>
        </w:tc>
        <w:tc>
          <w:tcPr>
            <w:tcW w:w="992"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1.0000</w:t>
            </w:r>
          </w:p>
        </w:tc>
        <w:tc>
          <w:tcPr>
            <w:tcW w:w="1063"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p>
        </w:tc>
        <w:tc>
          <w:tcPr>
            <w:tcW w:w="1096" w:type="dxa"/>
            <w:tcBorders>
              <w:top w:val="nil"/>
              <w:bottom w:val="nil"/>
            </w:tcBorders>
            <w:noWrap/>
            <w:vAlign w:val="center"/>
          </w:tcPr>
          <w:p w:rsidR="000A2752" w:rsidRPr="00EA4DB4" w:rsidRDefault="000A2752" w:rsidP="00F33A35">
            <w:pPr>
              <w:jc w:val="center"/>
              <w:rPr>
                <w:rFonts w:ascii="Times New Roman" w:hAnsi="Times New Roman" w:cs="Times New Roman"/>
                <w:sz w:val="16"/>
                <w:szCs w:val="14"/>
              </w:rPr>
            </w:pPr>
          </w:p>
        </w:tc>
        <w:tc>
          <w:tcPr>
            <w:tcW w:w="989" w:type="dxa"/>
            <w:tcBorders>
              <w:top w:val="nil"/>
              <w:bottom w:val="nil"/>
            </w:tcBorders>
            <w:noWrap/>
            <w:vAlign w:val="center"/>
          </w:tcPr>
          <w:p w:rsidR="000A2752" w:rsidRPr="00EA4DB4" w:rsidRDefault="000A2752" w:rsidP="00F33A35">
            <w:pPr>
              <w:jc w:val="center"/>
              <w:rPr>
                <w:rFonts w:ascii="Times New Roman" w:hAnsi="Times New Roman" w:cs="Times New Roman"/>
                <w:sz w:val="16"/>
                <w:szCs w:val="14"/>
              </w:rPr>
            </w:pPr>
          </w:p>
        </w:tc>
        <w:tc>
          <w:tcPr>
            <w:tcW w:w="989"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tcBorders>
              <w:top w:val="nil"/>
            </w:tcBorders>
            <w:noWrap/>
            <w:vAlign w:val="center"/>
            <w:hideMark/>
          </w:tcPr>
          <w:p w:rsidR="000A2752" w:rsidRPr="00EA4DB4" w:rsidRDefault="000A2752" w:rsidP="00F33A35">
            <w:pPr>
              <w:jc w:val="center"/>
              <w:rPr>
                <w:rFonts w:ascii="Times New Roman" w:hAnsi="Times New Roman" w:cs="Times New Roman"/>
                <w:sz w:val="16"/>
                <w:szCs w:val="14"/>
              </w:rPr>
            </w:pPr>
          </w:p>
        </w:tc>
        <w:tc>
          <w:tcPr>
            <w:tcW w:w="925" w:type="dxa"/>
            <w:tcBorders>
              <w:top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(&lt;.0001)</w:t>
            </w:r>
          </w:p>
        </w:tc>
        <w:tc>
          <w:tcPr>
            <w:tcW w:w="925" w:type="dxa"/>
            <w:tcBorders>
              <w:top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(&lt;.0001)</w:t>
            </w:r>
          </w:p>
        </w:tc>
        <w:tc>
          <w:tcPr>
            <w:tcW w:w="924" w:type="dxa"/>
            <w:tcBorders>
              <w:top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(0.0013)</w:t>
            </w:r>
          </w:p>
        </w:tc>
        <w:tc>
          <w:tcPr>
            <w:tcW w:w="924" w:type="dxa"/>
            <w:tcBorders>
              <w:top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(0.0068)</w:t>
            </w:r>
          </w:p>
        </w:tc>
        <w:tc>
          <w:tcPr>
            <w:tcW w:w="924" w:type="dxa"/>
            <w:tcBorders>
              <w:top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(0.0229)</w:t>
            </w:r>
          </w:p>
        </w:tc>
        <w:tc>
          <w:tcPr>
            <w:tcW w:w="926" w:type="dxa"/>
            <w:tcBorders>
              <w:top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(0.0437)</w:t>
            </w:r>
          </w:p>
        </w:tc>
        <w:tc>
          <w:tcPr>
            <w:tcW w:w="925" w:type="dxa"/>
            <w:tcBorders>
              <w:top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(0.0159)</w:t>
            </w:r>
          </w:p>
        </w:tc>
        <w:tc>
          <w:tcPr>
            <w:tcW w:w="935" w:type="dxa"/>
            <w:tcBorders>
              <w:top w:val="nil"/>
            </w:tcBorders>
            <w:noWrap/>
            <w:vAlign w:val="center"/>
            <w:hideMark/>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(0.0157)</w:t>
            </w:r>
          </w:p>
        </w:tc>
        <w:tc>
          <w:tcPr>
            <w:tcW w:w="935" w:type="dxa"/>
            <w:tcBorders>
              <w:top w:val="nil"/>
            </w:tcBorders>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(0.1120)</w:t>
            </w:r>
          </w:p>
        </w:tc>
        <w:tc>
          <w:tcPr>
            <w:tcW w:w="992" w:type="dxa"/>
            <w:tcBorders>
              <w:top w:val="nil"/>
            </w:tcBorders>
            <w:vAlign w:val="center"/>
          </w:tcPr>
          <w:p w:rsidR="000A2752" w:rsidRPr="00EA4DB4" w:rsidRDefault="000A2752" w:rsidP="00F33A35">
            <w:pPr>
              <w:jc w:val="center"/>
              <w:rPr>
                <w:rFonts w:ascii="Times New Roman" w:hAnsi="Times New Roman" w:cs="Times New Roman"/>
                <w:sz w:val="16"/>
                <w:szCs w:val="14"/>
              </w:rPr>
            </w:pPr>
          </w:p>
        </w:tc>
        <w:tc>
          <w:tcPr>
            <w:tcW w:w="1063" w:type="dxa"/>
            <w:tcBorders>
              <w:top w:val="nil"/>
            </w:tcBorders>
            <w:vAlign w:val="center"/>
          </w:tcPr>
          <w:p w:rsidR="000A2752" w:rsidRPr="00EA4DB4" w:rsidRDefault="000A2752" w:rsidP="00F33A35">
            <w:pPr>
              <w:jc w:val="center"/>
              <w:rPr>
                <w:rFonts w:ascii="Times New Roman" w:hAnsi="Times New Roman" w:cs="Times New Roman"/>
                <w:sz w:val="16"/>
                <w:szCs w:val="14"/>
              </w:rPr>
            </w:pPr>
          </w:p>
        </w:tc>
        <w:tc>
          <w:tcPr>
            <w:tcW w:w="1096" w:type="dxa"/>
            <w:tcBorders>
              <w:top w:val="nil"/>
            </w:tcBorders>
            <w:noWrap/>
            <w:vAlign w:val="center"/>
          </w:tcPr>
          <w:p w:rsidR="000A2752" w:rsidRPr="00EA4DB4" w:rsidRDefault="000A2752" w:rsidP="00F33A35">
            <w:pPr>
              <w:jc w:val="center"/>
              <w:rPr>
                <w:rFonts w:ascii="Times New Roman" w:hAnsi="Times New Roman" w:cs="Times New Roman"/>
                <w:sz w:val="16"/>
                <w:szCs w:val="14"/>
              </w:rPr>
            </w:pPr>
          </w:p>
        </w:tc>
        <w:tc>
          <w:tcPr>
            <w:tcW w:w="989" w:type="dxa"/>
            <w:tcBorders>
              <w:top w:val="nil"/>
            </w:tcBorders>
            <w:noWrap/>
            <w:vAlign w:val="center"/>
          </w:tcPr>
          <w:p w:rsidR="000A2752" w:rsidRPr="00EA4DB4" w:rsidRDefault="000A2752" w:rsidP="00F33A35">
            <w:pPr>
              <w:jc w:val="center"/>
              <w:rPr>
                <w:rFonts w:ascii="Times New Roman" w:hAnsi="Times New Roman" w:cs="Times New Roman"/>
                <w:sz w:val="16"/>
                <w:szCs w:val="14"/>
              </w:rPr>
            </w:pPr>
          </w:p>
        </w:tc>
        <w:tc>
          <w:tcPr>
            <w:tcW w:w="989" w:type="dxa"/>
            <w:tcBorders>
              <w:top w:val="nil"/>
            </w:tcBorders>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RULE</w:t>
            </w: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0.1712</w:t>
            </w: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0.1884</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0.0708</w:t>
            </w:r>
          </w:p>
        </w:tc>
        <w:tc>
          <w:tcPr>
            <w:tcW w:w="924"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0.5819</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-0.1681</w:t>
            </w:r>
          </w:p>
        </w:tc>
        <w:tc>
          <w:tcPr>
            <w:tcW w:w="926"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0.2435</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0.6909</w:t>
            </w:r>
          </w:p>
        </w:tc>
        <w:tc>
          <w:tcPr>
            <w:tcW w:w="935" w:type="dxa"/>
            <w:noWrap/>
            <w:vAlign w:val="center"/>
            <w:hideMark/>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0.3940</w:t>
            </w:r>
          </w:p>
        </w:tc>
        <w:tc>
          <w:tcPr>
            <w:tcW w:w="935" w:type="dxa"/>
            <w:noWrap/>
            <w:vAlign w:val="center"/>
            <w:hideMark/>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0.4603</w:t>
            </w:r>
          </w:p>
        </w:tc>
        <w:tc>
          <w:tcPr>
            <w:tcW w:w="992"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0.1462</w:t>
            </w:r>
          </w:p>
        </w:tc>
        <w:tc>
          <w:tcPr>
            <w:tcW w:w="1063"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1.0000</w:t>
            </w: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(0.3182)</w:t>
            </w: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(0.2572)</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(0.6600)</w:t>
            </w:r>
          </w:p>
        </w:tc>
        <w:tc>
          <w:tcPr>
            <w:tcW w:w="924"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(0.0005)</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(0.4021)</w:t>
            </w:r>
          </w:p>
        </w:tc>
        <w:tc>
          <w:tcPr>
            <w:tcW w:w="926"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(0.1353)</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(&lt;.0001)</w:t>
            </w:r>
          </w:p>
        </w:tc>
        <w:tc>
          <w:tcPr>
            <w:tcW w:w="935" w:type="dxa"/>
            <w:noWrap/>
            <w:vAlign w:val="center"/>
            <w:hideMark/>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(0.0131)</w:t>
            </w:r>
          </w:p>
        </w:tc>
        <w:tc>
          <w:tcPr>
            <w:tcW w:w="935" w:type="dxa"/>
            <w:noWrap/>
            <w:vAlign w:val="center"/>
            <w:hideMark/>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(0.0047)</w:t>
            </w:r>
          </w:p>
        </w:tc>
        <w:tc>
          <w:tcPr>
            <w:tcW w:w="992"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(0.3616)</w:t>
            </w:r>
          </w:p>
        </w:tc>
        <w:tc>
          <w:tcPr>
            <w:tcW w:w="1063" w:type="dxa"/>
            <w:vAlign w:val="center"/>
          </w:tcPr>
          <w:p w:rsidR="000A2752" w:rsidRPr="00EA4DB4" w:rsidRDefault="000A2752" w:rsidP="00F33A35">
            <w:pPr>
              <w:jc w:val="center"/>
              <w:rPr>
                <w:rFonts w:ascii="Times New Roman" w:hAnsi="Times New Roman" w:cs="Times New Roman"/>
                <w:sz w:val="16"/>
                <w:szCs w:val="14"/>
              </w:rPr>
            </w:pPr>
          </w:p>
        </w:tc>
        <w:tc>
          <w:tcPr>
            <w:tcW w:w="1096"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A85E96">
        <w:trPr>
          <w:trHeight w:hRule="exact" w:val="252"/>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GDP_PERCAP</w:t>
            </w: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0.0187</w:t>
            </w: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0.0043</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-0.0638</w:t>
            </w:r>
          </w:p>
        </w:tc>
        <w:tc>
          <w:tcPr>
            <w:tcW w:w="924"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0.5281</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-0.1810</w:t>
            </w:r>
          </w:p>
        </w:tc>
        <w:tc>
          <w:tcPr>
            <w:tcW w:w="926"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0.1539</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0.5924</w:t>
            </w:r>
          </w:p>
        </w:tc>
        <w:tc>
          <w:tcPr>
            <w:tcW w:w="935" w:type="dxa"/>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0.2891</w:t>
            </w:r>
          </w:p>
        </w:tc>
        <w:tc>
          <w:tcPr>
            <w:tcW w:w="935" w:type="dxa"/>
            <w:noWrap/>
            <w:vAlign w:val="center"/>
            <w:hideMark/>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0.4572</w:t>
            </w:r>
          </w:p>
        </w:tc>
        <w:tc>
          <w:tcPr>
            <w:tcW w:w="992"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0.0028</w:t>
            </w:r>
          </w:p>
        </w:tc>
        <w:tc>
          <w:tcPr>
            <w:tcW w:w="1063"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0.8835</w:t>
            </w:r>
          </w:p>
        </w:tc>
        <w:tc>
          <w:tcPr>
            <w:tcW w:w="1096" w:type="dxa"/>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1.0000</w:t>
            </w: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noWrap/>
            <w:vAlign w:val="center"/>
            <w:hideMark/>
          </w:tcPr>
          <w:p w:rsidR="000A2752" w:rsidRPr="00EA4DB4" w:rsidRDefault="000A2752" w:rsidP="00F33A35">
            <w:pPr>
              <w:jc w:val="center"/>
              <w:rPr>
                <w:rFonts w:ascii="Times New Roman" w:hAnsi="Times New Roman" w:cs="Times New Roman"/>
                <w:sz w:val="16"/>
                <w:szCs w:val="14"/>
              </w:rPr>
            </w:pP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(0.9140)</w:t>
            </w:r>
          </w:p>
        </w:tc>
        <w:tc>
          <w:tcPr>
            <w:tcW w:w="925"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(0.9798)</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(0.6919)</w:t>
            </w:r>
          </w:p>
        </w:tc>
        <w:tc>
          <w:tcPr>
            <w:tcW w:w="924"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(0.0019)</w:t>
            </w:r>
          </w:p>
        </w:tc>
        <w:tc>
          <w:tcPr>
            <w:tcW w:w="924"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(0.3662)</w:t>
            </w:r>
          </w:p>
        </w:tc>
        <w:tc>
          <w:tcPr>
            <w:tcW w:w="926"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(0.3495)</w:t>
            </w:r>
          </w:p>
        </w:tc>
        <w:tc>
          <w:tcPr>
            <w:tcW w:w="925"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(&lt;.0001)</w:t>
            </w:r>
          </w:p>
        </w:tc>
        <w:tc>
          <w:tcPr>
            <w:tcW w:w="935" w:type="dxa"/>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(0.0743)</w:t>
            </w:r>
          </w:p>
        </w:tc>
        <w:tc>
          <w:tcPr>
            <w:tcW w:w="935" w:type="dxa"/>
            <w:noWrap/>
            <w:vAlign w:val="center"/>
            <w:hideMark/>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(0.0051)</w:t>
            </w:r>
          </w:p>
        </w:tc>
        <w:tc>
          <w:tcPr>
            <w:tcW w:w="992" w:type="dxa"/>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(0.9862)</w:t>
            </w:r>
          </w:p>
        </w:tc>
        <w:tc>
          <w:tcPr>
            <w:tcW w:w="1063" w:type="dxa"/>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(&lt;.0001)</w:t>
            </w:r>
          </w:p>
        </w:tc>
        <w:tc>
          <w:tcPr>
            <w:tcW w:w="1096" w:type="dxa"/>
            <w:noWrap/>
            <w:vAlign w:val="center"/>
            <w:hideMark/>
          </w:tcPr>
          <w:p w:rsidR="000A2752" w:rsidRPr="00EA4DB4" w:rsidRDefault="000A2752" w:rsidP="00F33A35">
            <w:pPr>
              <w:jc w:val="center"/>
              <w:rPr>
                <w:rFonts w:ascii="Times New Roman" w:hAnsi="Times New Roman" w:cs="Times New Roman"/>
                <w:sz w:val="16"/>
                <w:szCs w:val="14"/>
              </w:rPr>
            </w:pPr>
          </w:p>
        </w:tc>
        <w:tc>
          <w:tcPr>
            <w:tcW w:w="989" w:type="dxa"/>
            <w:noWrap/>
            <w:vAlign w:val="center"/>
          </w:tcPr>
          <w:p w:rsidR="000A2752" w:rsidRPr="00EA4DB4" w:rsidRDefault="000A2752" w:rsidP="00F33A35">
            <w:pPr>
              <w:jc w:val="center"/>
              <w:rPr>
                <w:rFonts w:ascii="Times New Roman" w:hAnsi="Times New Roman" w:cs="Times New Roman"/>
                <w:sz w:val="16"/>
                <w:szCs w:val="14"/>
              </w:rPr>
            </w:pPr>
          </w:p>
        </w:tc>
        <w:tc>
          <w:tcPr>
            <w:tcW w:w="989" w:type="dxa"/>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A85E96">
        <w:trPr>
          <w:trHeight w:hRule="exact" w:val="261"/>
          <w:jc w:val="center"/>
        </w:trPr>
        <w:tc>
          <w:tcPr>
            <w:tcW w:w="1383" w:type="dxa"/>
            <w:tcBorders>
              <w:bottom w:val="nil"/>
            </w:tcBorders>
            <w:noWrap/>
            <w:vAlign w:val="center"/>
            <w:hideMark/>
          </w:tcPr>
          <w:p w:rsidR="000A2752" w:rsidRPr="00A85E96" w:rsidRDefault="00A85E96" w:rsidP="00A85E96">
            <w:pPr>
              <w:jc w:val="center"/>
              <w:rPr>
                <w:rFonts w:ascii="Times New Roman" w:hAnsi="Times New Roman" w:cs="Times New Roman"/>
                <w:sz w:val="16"/>
                <w:szCs w:val="14"/>
              </w:rPr>
            </w:pPr>
            <w:r w:rsidRPr="00A85E96">
              <w:rPr>
                <w:rFonts w:ascii="Times New Roman" w:hAnsi="Times New Roman" w:cs="Times New Roman"/>
                <w:sz w:val="16"/>
                <w:szCs w:val="14"/>
              </w:rPr>
              <w:t>GDP_GRO</w:t>
            </w:r>
          </w:p>
        </w:tc>
        <w:tc>
          <w:tcPr>
            <w:tcW w:w="925" w:type="dxa"/>
            <w:tcBorders>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0.2253</w:t>
            </w:r>
          </w:p>
        </w:tc>
        <w:tc>
          <w:tcPr>
            <w:tcW w:w="925" w:type="dxa"/>
            <w:tcBorders>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0.2974</w:t>
            </w:r>
          </w:p>
        </w:tc>
        <w:tc>
          <w:tcPr>
            <w:tcW w:w="924" w:type="dxa"/>
            <w:tcBorders>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0.2176</w:t>
            </w:r>
          </w:p>
        </w:tc>
        <w:tc>
          <w:tcPr>
            <w:tcW w:w="924" w:type="dxa"/>
            <w:tcBorders>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-0.1938</w:t>
            </w:r>
          </w:p>
        </w:tc>
        <w:tc>
          <w:tcPr>
            <w:tcW w:w="924" w:type="dxa"/>
            <w:tcBorders>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-0.1416</w:t>
            </w:r>
          </w:p>
        </w:tc>
        <w:tc>
          <w:tcPr>
            <w:tcW w:w="926" w:type="dxa"/>
            <w:tcBorders>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0.0662</w:t>
            </w:r>
          </w:p>
        </w:tc>
        <w:tc>
          <w:tcPr>
            <w:tcW w:w="925" w:type="dxa"/>
            <w:tcBorders>
              <w:bottom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-0.4619</w:t>
            </w:r>
          </w:p>
        </w:tc>
        <w:tc>
          <w:tcPr>
            <w:tcW w:w="935" w:type="dxa"/>
            <w:tcBorders>
              <w:bottom w:val="nil"/>
            </w:tcBorders>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-0.0649</w:t>
            </w:r>
          </w:p>
        </w:tc>
        <w:tc>
          <w:tcPr>
            <w:tcW w:w="935" w:type="dxa"/>
            <w:tcBorders>
              <w:bottom w:val="nil"/>
            </w:tcBorders>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-0.3051</w:t>
            </w:r>
          </w:p>
        </w:tc>
        <w:tc>
          <w:tcPr>
            <w:tcW w:w="992" w:type="dxa"/>
            <w:tcBorders>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0.2076</w:t>
            </w:r>
          </w:p>
        </w:tc>
        <w:tc>
          <w:tcPr>
            <w:tcW w:w="1063" w:type="dxa"/>
            <w:tcBorders>
              <w:bottom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-0.5458</w:t>
            </w:r>
          </w:p>
        </w:tc>
        <w:tc>
          <w:tcPr>
            <w:tcW w:w="1096" w:type="dxa"/>
            <w:tcBorders>
              <w:bottom w:val="nil"/>
            </w:tcBorders>
            <w:noWrap/>
            <w:vAlign w:val="center"/>
            <w:hideMark/>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-0.6356</w:t>
            </w:r>
          </w:p>
        </w:tc>
        <w:tc>
          <w:tcPr>
            <w:tcW w:w="989" w:type="dxa"/>
            <w:tcBorders>
              <w:bottom w:val="nil"/>
            </w:tcBorders>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1.0000</w:t>
            </w:r>
          </w:p>
        </w:tc>
        <w:tc>
          <w:tcPr>
            <w:tcW w:w="989" w:type="dxa"/>
            <w:tcBorders>
              <w:bottom w:val="nil"/>
            </w:tcBorders>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F33A35">
        <w:trPr>
          <w:trHeight w:hRule="exact" w:val="173"/>
          <w:jc w:val="center"/>
        </w:trPr>
        <w:tc>
          <w:tcPr>
            <w:tcW w:w="1383" w:type="dxa"/>
            <w:tcBorders>
              <w:top w:val="nil"/>
              <w:bottom w:val="nil"/>
            </w:tcBorders>
            <w:noWrap/>
            <w:vAlign w:val="center"/>
            <w:hideMark/>
          </w:tcPr>
          <w:p w:rsidR="000A2752" w:rsidRPr="00EA4DB4" w:rsidRDefault="000A2752" w:rsidP="00F33A35">
            <w:pPr>
              <w:jc w:val="center"/>
              <w:rPr>
                <w:rFonts w:ascii="Times New Roman" w:hAnsi="Times New Roman" w:cs="Times New Roman"/>
                <w:sz w:val="16"/>
                <w:szCs w:val="14"/>
              </w:rPr>
            </w:pPr>
          </w:p>
        </w:tc>
        <w:tc>
          <w:tcPr>
            <w:tcW w:w="925"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(0.1864)</w:t>
            </w:r>
          </w:p>
        </w:tc>
        <w:tc>
          <w:tcPr>
            <w:tcW w:w="925"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(0.0698)</w:t>
            </w:r>
          </w:p>
        </w:tc>
        <w:tc>
          <w:tcPr>
            <w:tcW w:w="924"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(0.1717)</w:t>
            </w:r>
          </w:p>
        </w:tc>
        <w:tc>
          <w:tcPr>
            <w:tcW w:w="924"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(0.2879)</w:t>
            </w:r>
          </w:p>
        </w:tc>
        <w:tc>
          <w:tcPr>
            <w:tcW w:w="924"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(0.4810)</w:t>
            </w:r>
          </w:p>
        </w:tc>
        <w:tc>
          <w:tcPr>
            <w:tcW w:w="926"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(0.6891)</w:t>
            </w:r>
          </w:p>
        </w:tc>
        <w:tc>
          <w:tcPr>
            <w:tcW w:w="925" w:type="dxa"/>
            <w:tcBorders>
              <w:top w:val="nil"/>
              <w:bottom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(0.0024)</w:t>
            </w:r>
          </w:p>
        </w:tc>
        <w:tc>
          <w:tcPr>
            <w:tcW w:w="935" w:type="dxa"/>
            <w:tcBorders>
              <w:top w:val="nil"/>
              <w:bottom w:val="nil"/>
            </w:tcBorders>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(0.6946)</w:t>
            </w:r>
          </w:p>
        </w:tc>
        <w:tc>
          <w:tcPr>
            <w:tcW w:w="935" w:type="dxa"/>
            <w:tcBorders>
              <w:top w:val="nil"/>
              <w:bottom w:val="nil"/>
            </w:tcBorders>
            <w:noWrap/>
            <w:vAlign w:val="center"/>
            <w:hideMark/>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(0.0704)</w:t>
            </w:r>
          </w:p>
        </w:tc>
        <w:tc>
          <w:tcPr>
            <w:tcW w:w="992"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(0.1928)</w:t>
            </w:r>
          </w:p>
        </w:tc>
        <w:tc>
          <w:tcPr>
            <w:tcW w:w="1063" w:type="dxa"/>
            <w:tcBorders>
              <w:top w:val="nil"/>
              <w:bottom w:val="nil"/>
            </w:tcBorders>
            <w:vAlign w:val="center"/>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(0.0002)</w:t>
            </w:r>
          </w:p>
        </w:tc>
        <w:tc>
          <w:tcPr>
            <w:tcW w:w="1096" w:type="dxa"/>
            <w:tcBorders>
              <w:top w:val="nil"/>
              <w:bottom w:val="nil"/>
            </w:tcBorders>
            <w:noWrap/>
            <w:vAlign w:val="center"/>
            <w:hideMark/>
          </w:tcPr>
          <w:p w:rsidR="000A2752" w:rsidRPr="00EA4DB4" w:rsidRDefault="000A2752" w:rsidP="00F33A35">
            <w:pPr>
              <w:jc w:val="center"/>
              <w:rPr>
                <w:rFonts w:ascii="Times New Roman" w:hAnsi="Times New Roman" w:cs="Times New Roman"/>
                <w:b/>
                <w:sz w:val="16"/>
                <w:szCs w:val="14"/>
              </w:rPr>
            </w:pPr>
            <w:r w:rsidRPr="00EA4DB4">
              <w:rPr>
                <w:rFonts w:ascii="Times New Roman" w:hAnsi="Times New Roman" w:cs="Times New Roman"/>
                <w:b/>
                <w:sz w:val="16"/>
                <w:szCs w:val="14"/>
              </w:rPr>
              <w:t>(&lt;.0001)</w:t>
            </w:r>
          </w:p>
        </w:tc>
        <w:tc>
          <w:tcPr>
            <w:tcW w:w="989" w:type="dxa"/>
            <w:tcBorders>
              <w:top w:val="nil"/>
              <w:bottom w:val="nil"/>
            </w:tcBorders>
            <w:noWrap/>
            <w:vAlign w:val="center"/>
            <w:hideMark/>
          </w:tcPr>
          <w:p w:rsidR="000A2752" w:rsidRPr="00EA4DB4" w:rsidRDefault="000A2752" w:rsidP="00F33A35">
            <w:pPr>
              <w:jc w:val="center"/>
              <w:rPr>
                <w:rFonts w:ascii="Times New Roman" w:hAnsi="Times New Roman" w:cs="Times New Roman"/>
                <w:sz w:val="16"/>
                <w:szCs w:val="14"/>
              </w:rPr>
            </w:pPr>
          </w:p>
        </w:tc>
        <w:tc>
          <w:tcPr>
            <w:tcW w:w="989"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p>
        </w:tc>
      </w:tr>
      <w:tr w:rsidR="000A2752" w:rsidRPr="009B02D5" w:rsidTr="00A85E96">
        <w:trPr>
          <w:trHeight w:hRule="exact" w:val="198"/>
          <w:jc w:val="center"/>
        </w:trPr>
        <w:tc>
          <w:tcPr>
            <w:tcW w:w="1383" w:type="dxa"/>
            <w:tcBorders>
              <w:top w:val="nil"/>
              <w:bottom w:val="nil"/>
            </w:tcBorders>
            <w:noWrap/>
            <w:vAlign w:val="center"/>
          </w:tcPr>
          <w:p w:rsidR="000A2752" w:rsidRPr="00EA4DB4" w:rsidRDefault="00E531C1" w:rsidP="00F33A35">
            <w:pPr>
              <w:jc w:val="center"/>
              <w:rPr>
                <w:rFonts w:ascii="Times New Roman" w:hAnsi="Times New Roman" w:cs="Times New Roman"/>
                <w:sz w:val="16"/>
                <w:szCs w:val="14"/>
              </w:rPr>
            </w:pPr>
            <w:r w:rsidRPr="00EA4DB4">
              <w:rPr>
                <w:rFonts w:ascii="Times New Roman" w:hAnsi="Times New Roman" w:cs="Times New Roman"/>
                <w:sz w:val="16"/>
                <w:szCs w:val="14"/>
              </w:rPr>
              <w:t>TAX</w:t>
            </w:r>
            <w:r w:rsidR="005B77BC">
              <w:rPr>
                <w:rFonts w:ascii="Times New Roman" w:hAnsi="Times New Roman" w:cs="Times New Roman"/>
                <w:sz w:val="16"/>
                <w:szCs w:val="14"/>
              </w:rPr>
              <w:t>_C</w:t>
            </w:r>
          </w:p>
        </w:tc>
        <w:tc>
          <w:tcPr>
            <w:tcW w:w="925"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-0.0506</w:t>
            </w:r>
          </w:p>
        </w:tc>
        <w:tc>
          <w:tcPr>
            <w:tcW w:w="925"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0.124</w:t>
            </w:r>
            <w:r w:rsidR="00E531C1" w:rsidRPr="00EA4DB4">
              <w:rPr>
                <w:rFonts w:ascii="Times New Roman" w:hAnsi="Times New Roman" w:cs="Times New Roman"/>
                <w:sz w:val="16"/>
                <w:szCs w:val="14"/>
              </w:rPr>
              <w:t>5</w:t>
            </w:r>
          </w:p>
        </w:tc>
        <w:tc>
          <w:tcPr>
            <w:tcW w:w="924"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0.3396</w:t>
            </w:r>
          </w:p>
        </w:tc>
        <w:tc>
          <w:tcPr>
            <w:tcW w:w="924"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0.192</w:t>
            </w:r>
            <w:r w:rsidR="00E531C1" w:rsidRPr="00EA4DB4">
              <w:rPr>
                <w:rFonts w:ascii="Times New Roman" w:hAnsi="Times New Roman" w:cs="Times New Roman"/>
                <w:sz w:val="16"/>
                <w:szCs w:val="14"/>
              </w:rPr>
              <w:t>9</w:t>
            </w:r>
          </w:p>
        </w:tc>
        <w:tc>
          <w:tcPr>
            <w:tcW w:w="924"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-0.144</w:t>
            </w:r>
            <w:r w:rsidR="00E531C1" w:rsidRPr="00EA4DB4">
              <w:rPr>
                <w:rFonts w:ascii="Times New Roman" w:hAnsi="Times New Roman" w:cs="Times New Roman"/>
                <w:sz w:val="16"/>
                <w:szCs w:val="14"/>
              </w:rPr>
              <w:t>2</w:t>
            </w:r>
          </w:p>
        </w:tc>
        <w:tc>
          <w:tcPr>
            <w:tcW w:w="926"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-0.297</w:t>
            </w:r>
            <w:r w:rsidR="00E531C1" w:rsidRPr="00EA4DB4">
              <w:rPr>
                <w:rFonts w:ascii="Times New Roman" w:hAnsi="Times New Roman" w:cs="Times New Roman"/>
                <w:sz w:val="16"/>
                <w:szCs w:val="14"/>
              </w:rPr>
              <w:t>1</w:t>
            </w:r>
          </w:p>
        </w:tc>
        <w:tc>
          <w:tcPr>
            <w:tcW w:w="925"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-0.096</w:t>
            </w:r>
            <w:r w:rsidR="00E531C1" w:rsidRPr="00EA4DB4">
              <w:rPr>
                <w:rFonts w:ascii="Times New Roman" w:hAnsi="Times New Roman" w:cs="Times New Roman"/>
                <w:sz w:val="16"/>
                <w:szCs w:val="14"/>
              </w:rPr>
              <w:t>9</w:t>
            </w:r>
          </w:p>
        </w:tc>
        <w:tc>
          <w:tcPr>
            <w:tcW w:w="935" w:type="dxa"/>
            <w:tcBorders>
              <w:top w:val="nil"/>
              <w:bottom w:val="nil"/>
            </w:tcBorders>
            <w:noWrap/>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-0.2286</w:t>
            </w:r>
          </w:p>
        </w:tc>
        <w:tc>
          <w:tcPr>
            <w:tcW w:w="935" w:type="dxa"/>
            <w:tcBorders>
              <w:top w:val="nil"/>
              <w:bottom w:val="nil"/>
            </w:tcBorders>
            <w:noWrap/>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-0.194</w:t>
            </w:r>
            <w:r w:rsidR="00E531C1" w:rsidRPr="00EA4DB4">
              <w:rPr>
                <w:rFonts w:ascii="Times New Roman" w:hAnsi="Times New Roman" w:cs="Times New Roman"/>
                <w:sz w:val="16"/>
                <w:szCs w:val="14"/>
              </w:rPr>
              <w:t>1</w:t>
            </w:r>
          </w:p>
        </w:tc>
        <w:tc>
          <w:tcPr>
            <w:tcW w:w="992"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0.0968</w:t>
            </w:r>
          </w:p>
        </w:tc>
        <w:tc>
          <w:tcPr>
            <w:tcW w:w="1063"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-0.0614</w:t>
            </w:r>
          </w:p>
        </w:tc>
        <w:tc>
          <w:tcPr>
            <w:tcW w:w="1096" w:type="dxa"/>
            <w:tcBorders>
              <w:top w:val="nil"/>
              <w:bottom w:val="nil"/>
            </w:tcBorders>
            <w:noWrap/>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-0.0275</w:t>
            </w:r>
          </w:p>
        </w:tc>
        <w:tc>
          <w:tcPr>
            <w:tcW w:w="989" w:type="dxa"/>
            <w:tcBorders>
              <w:top w:val="nil"/>
              <w:bottom w:val="nil"/>
            </w:tcBorders>
            <w:noWrap/>
            <w:vAlign w:val="center"/>
          </w:tcPr>
          <w:p w:rsidR="000A2752" w:rsidRPr="00EA4DB4" w:rsidRDefault="00E531C1" w:rsidP="00F33A35">
            <w:pPr>
              <w:jc w:val="center"/>
              <w:rPr>
                <w:rFonts w:ascii="Times New Roman" w:hAnsi="Times New Roman" w:cs="Times New Roman"/>
                <w:sz w:val="16"/>
                <w:szCs w:val="14"/>
              </w:rPr>
            </w:pPr>
            <w:r w:rsidRPr="00EA4DB4">
              <w:rPr>
                <w:rFonts w:ascii="Times New Roman" w:hAnsi="Times New Roman" w:cs="Times New Roman"/>
                <w:sz w:val="16"/>
                <w:szCs w:val="14"/>
              </w:rPr>
              <w:t>-0.2838</w:t>
            </w:r>
          </w:p>
        </w:tc>
        <w:tc>
          <w:tcPr>
            <w:tcW w:w="989" w:type="dxa"/>
            <w:tcBorders>
              <w:top w:val="nil"/>
              <w:bottom w:val="nil"/>
            </w:tcBorders>
            <w:vAlign w:val="center"/>
          </w:tcPr>
          <w:p w:rsidR="000A2752" w:rsidRPr="00EA4DB4" w:rsidRDefault="000A2752" w:rsidP="00F33A35">
            <w:pPr>
              <w:jc w:val="center"/>
              <w:rPr>
                <w:rFonts w:ascii="Times New Roman" w:hAnsi="Times New Roman" w:cs="Times New Roman"/>
                <w:sz w:val="16"/>
                <w:szCs w:val="14"/>
              </w:rPr>
            </w:pPr>
            <w:r w:rsidRPr="00EA4DB4">
              <w:rPr>
                <w:rFonts w:ascii="Times New Roman" w:hAnsi="Times New Roman" w:cs="Times New Roman"/>
                <w:sz w:val="16"/>
                <w:szCs w:val="14"/>
              </w:rPr>
              <w:t>1.0000</w:t>
            </w:r>
          </w:p>
        </w:tc>
      </w:tr>
      <w:tr w:rsidR="000A2752" w:rsidRPr="009B02D5" w:rsidTr="00F33A35">
        <w:trPr>
          <w:trHeight w:hRule="exact" w:val="243"/>
          <w:jc w:val="center"/>
        </w:trPr>
        <w:tc>
          <w:tcPr>
            <w:tcW w:w="1383" w:type="dxa"/>
            <w:tcBorders>
              <w:top w:val="nil"/>
              <w:bottom w:val="double" w:sz="4" w:space="0" w:color="auto"/>
            </w:tcBorders>
            <w:noWrap/>
            <w:vAlign w:val="center"/>
          </w:tcPr>
          <w:p w:rsidR="000A2752" w:rsidRPr="00EA4DB4" w:rsidRDefault="000A2752" w:rsidP="00F33A35">
            <w:pPr>
              <w:jc w:val="center"/>
              <w:rPr>
                <w:rFonts w:ascii="Times New Roman" w:hAnsi="Times New Roman" w:cs="Times New Roman"/>
                <w:sz w:val="16"/>
                <w:szCs w:val="14"/>
              </w:rPr>
            </w:pPr>
          </w:p>
        </w:tc>
        <w:tc>
          <w:tcPr>
            <w:tcW w:w="925" w:type="dxa"/>
            <w:tcBorders>
              <w:top w:val="nil"/>
              <w:bottom w:val="double" w:sz="4" w:space="0" w:color="auto"/>
            </w:tcBorders>
            <w:vAlign w:val="center"/>
          </w:tcPr>
          <w:p w:rsidR="000A2752" w:rsidRPr="00EA4DB4" w:rsidRDefault="00E531C1" w:rsidP="00F33A35">
            <w:pPr>
              <w:jc w:val="center"/>
              <w:rPr>
                <w:rFonts w:ascii="Times New Roman" w:hAnsi="Times New Roman" w:cs="Times New Roman"/>
                <w:sz w:val="16"/>
                <w:szCs w:val="14"/>
              </w:rPr>
            </w:pPr>
            <w:r w:rsidRPr="00EA4DB4">
              <w:rPr>
                <w:rFonts w:ascii="Times New Roman" w:hAnsi="Times New Roman" w:cs="Times New Roman"/>
                <w:sz w:val="16"/>
                <w:szCs w:val="14"/>
              </w:rPr>
              <w:t>(</w:t>
            </w:r>
            <w:r w:rsidR="000A2752" w:rsidRPr="00EA4DB4">
              <w:rPr>
                <w:rFonts w:ascii="Times New Roman" w:hAnsi="Times New Roman" w:cs="Times New Roman"/>
                <w:sz w:val="16"/>
                <w:szCs w:val="14"/>
              </w:rPr>
              <w:t>0.8186</w:t>
            </w:r>
            <w:r w:rsidRPr="00EA4DB4">
              <w:rPr>
                <w:rFonts w:ascii="Times New Roman" w:hAnsi="Times New Roman" w:cs="Times New Roman"/>
                <w:sz w:val="16"/>
                <w:szCs w:val="14"/>
              </w:rPr>
              <w:t>)</w:t>
            </w:r>
          </w:p>
        </w:tc>
        <w:tc>
          <w:tcPr>
            <w:tcW w:w="925" w:type="dxa"/>
            <w:tcBorders>
              <w:top w:val="nil"/>
              <w:bottom w:val="double" w:sz="4" w:space="0" w:color="auto"/>
            </w:tcBorders>
            <w:vAlign w:val="center"/>
          </w:tcPr>
          <w:p w:rsidR="000A2752" w:rsidRPr="00EA4DB4" w:rsidRDefault="00E531C1" w:rsidP="00F33A35">
            <w:pPr>
              <w:jc w:val="center"/>
              <w:rPr>
                <w:rFonts w:ascii="Times New Roman" w:hAnsi="Times New Roman" w:cs="Times New Roman"/>
                <w:sz w:val="16"/>
                <w:szCs w:val="14"/>
              </w:rPr>
            </w:pPr>
            <w:r w:rsidRPr="00EA4DB4">
              <w:rPr>
                <w:rFonts w:ascii="Times New Roman" w:hAnsi="Times New Roman" w:cs="Times New Roman"/>
                <w:sz w:val="16"/>
                <w:szCs w:val="14"/>
              </w:rPr>
              <w:t>(</w:t>
            </w:r>
            <w:r w:rsidR="000A2752" w:rsidRPr="00EA4DB4">
              <w:rPr>
                <w:rFonts w:ascii="Times New Roman" w:hAnsi="Times New Roman" w:cs="Times New Roman"/>
                <w:sz w:val="16"/>
                <w:szCs w:val="14"/>
              </w:rPr>
              <w:t>0.5622</w:t>
            </w:r>
            <w:r w:rsidRPr="00EA4DB4">
              <w:rPr>
                <w:rFonts w:ascii="Times New Roman" w:hAnsi="Times New Roman" w:cs="Times New Roman"/>
                <w:sz w:val="16"/>
                <w:szCs w:val="14"/>
              </w:rPr>
              <w:t>)</w:t>
            </w:r>
          </w:p>
        </w:tc>
        <w:tc>
          <w:tcPr>
            <w:tcW w:w="924" w:type="dxa"/>
            <w:tcBorders>
              <w:top w:val="nil"/>
              <w:bottom w:val="double" w:sz="4" w:space="0" w:color="auto"/>
            </w:tcBorders>
            <w:vAlign w:val="center"/>
          </w:tcPr>
          <w:p w:rsidR="000A2752" w:rsidRPr="00EA4DB4" w:rsidRDefault="00E531C1" w:rsidP="00F33A35">
            <w:pPr>
              <w:jc w:val="center"/>
              <w:rPr>
                <w:rFonts w:ascii="Times New Roman" w:hAnsi="Times New Roman" w:cs="Times New Roman"/>
                <w:sz w:val="16"/>
                <w:szCs w:val="14"/>
              </w:rPr>
            </w:pPr>
            <w:r w:rsidRPr="00EA4DB4">
              <w:rPr>
                <w:rFonts w:ascii="Times New Roman" w:hAnsi="Times New Roman" w:cs="Times New Roman"/>
                <w:sz w:val="16"/>
                <w:szCs w:val="14"/>
              </w:rPr>
              <w:t>(</w:t>
            </w:r>
            <w:r w:rsidR="000A2752" w:rsidRPr="00EA4DB4">
              <w:rPr>
                <w:rFonts w:ascii="Times New Roman" w:hAnsi="Times New Roman" w:cs="Times New Roman"/>
                <w:sz w:val="16"/>
                <w:szCs w:val="14"/>
              </w:rPr>
              <w:t>0.1045</w:t>
            </w:r>
            <w:r w:rsidRPr="00EA4DB4">
              <w:rPr>
                <w:rFonts w:ascii="Times New Roman" w:hAnsi="Times New Roman" w:cs="Times New Roman"/>
                <w:sz w:val="16"/>
                <w:szCs w:val="14"/>
              </w:rPr>
              <w:t>)</w:t>
            </w:r>
          </w:p>
        </w:tc>
        <w:tc>
          <w:tcPr>
            <w:tcW w:w="924" w:type="dxa"/>
            <w:tcBorders>
              <w:top w:val="nil"/>
              <w:bottom w:val="double" w:sz="4" w:space="0" w:color="auto"/>
            </w:tcBorders>
            <w:vAlign w:val="center"/>
          </w:tcPr>
          <w:p w:rsidR="000A2752" w:rsidRPr="00EA4DB4" w:rsidRDefault="00E531C1" w:rsidP="00F33A35">
            <w:pPr>
              <w:jc w:val="center"/>
              <w:rPr>
                <w:rFonts w:ascii="Times New Roman" w:hAnsi="Times New Roman" w:cs="Times New Roman"/>
                <w:sz w:val="16"/>
                <w:szCs w:val="14"/>
              </w:rPr>
            </w:pPr>
            <w:r w:rsidRPr="00EA4DB4">
              <w:rPr>
                <w:rFonts w:ascii="Times New Roman" w:hAnsi="Times New Roman" w:cs="Times New Roman"/>
                <w:sz w:val="16"/>
                <w:szCs w:val="14"/>
              </w:rPr>
              <w:t>(</w:t>
            </w:r>
            <w:r w:rsidR="000A2752" w:rsidRPr="00EA4DB4">
              <w:rPr>
                <w:rFonts w:ascii="Times New Roman" w:hAnsi="Times New Roman" w:cs="Times New Roman"/>
                <w:sz w:val="16"/>
                <w:szCs w:val="14"/>
              </w:rPr>
              <w:t>0.3899</w:t>
            </w:r>
            <w:r w:rsidRPr="00EA4DB4">
              <w:rPr>
                <w:rFonts w:ascii="Times New Roman" w:hAnsi="Times New Roman" w:cs="Times New Roman"/>
                <w:sz w:val="16"/>
                <w:szCs w:val="14"/>
              </w:rPr>
              <w:t>)</w:t>
            </w:r>
          </w:p>
        </w:tc>
        <w:tc>
          <w:tcPr>
            <w:tcW w:w="924" w:type="dxa"/>
            <w:tcBorders>
              <w:top w:val="nil"/>
              <w:bottom w:val="double" w:sz="4" w:space="0" w:color="auto"/>
            </w:tcBorders>
            <w:vAlign w:val="center"/>
          </w:tcPr>
          <w:p w:rsidR="000A2752" w:rsidRPr="00EA4DB4" w:rsidRDefault="00E531C1" w:rsidP="00F33A35">
            <w:pPr>
              <w:jc w:val="center"/>
              <w:rPr>
                <w:rFonts w:ascii="Times New Roman" w:hAnsi="Times New Roman" w:cs="Times New Roman"/>
                <w:sz w:val="16"/>
                <w:szCs w:val="14"/>
              </w:rPr>
            </w:pPr>
            <w:r w:rsidRPr="00EA4DB4">
              <w:rPr>
                <w:rFonts w:ascii="Times New Roman" w:hAnsi="Times New Roman" w:cs="Times New Roman"/>
                <w:sz w:val="16"/>
                <w:szCs w:val="14"/>
              </w:rPr>
              <w:t>(</w:t>
            </w:r>
            <w:r w:rsidR="000A2752" w:rsidRPr="00EA4DB4">
              <w:rPr>
                <w:rFonts w:ascii="Times New Roman" w:hAnsi="Times New Roman" w:cs="Times New Roman"/>
                <w:sz w:val="16"/>
                <w:szCs w:val="14"/>
              </w:rPr>
              <w:t>0.5682</w:t>
            </w:r>
            <w:r w:rsidRPr="00EA4DB4">
              <w:rPr>
                <w:rFonts w:ascii="Times New Roman" w:hAnsi="Times New Roman" w:cs="Times New Roman"/>
                <w:sz w:val="16"/>
                <w:szCs w:val="14"/>
              </w:rPr>
              <w:t>)</w:t>
            </w:r>
          </w:p>
        </w:tc>
        <w:tc>
          <w:tcPr>
            <w:tcW w:w="926" w:type="dxa"/>
            <w:tcBorders>
              <w:top w:val="nil"/>
              <w:bottom w:val="double" w:sz="4" w:space="0" w:color="auto"/>
            </w:tcBorders>
            <w:vAlign w:val="center"/>
          </w:tcPr>
          <w:p w:rsidR="000A2752" w:rsidRPr="00EA4DB4" w:rsidRDefault="00E531C1" w:rsidP="00F33A35">
            <w:pPr>
              <w:jc w:val="center"/>
              <w:rPr>
                <w:rFonts w:ascii="Times New Roman" w:hAnsi="Times New Roman" w:cs="Times New Roman"/>
                <w:sz w:val="16"/>
                <w:szCs w:val="14"/>
              </w:rPr>
            </w:pPr>
            <w:r w:rsidRPr="00EA4DB4">
              <w:rPr>
                <w:rFonts w:ascii="Times New Roman" w:hAnsi="Times New Roman" w:cs="Times New Roman"/>
                <w:sz w:val="16"/>
                <w:szCs w:val="14"/>
              </w:rPr>
              <w:t>(</w:t>
            </w:r>
            <w:r w:rsidR="000A2752" w:rsidRPr="00EA4DB4">
              <w:rPr>
                <w:rFonts w:ascii="Times New Roman" w:hAnsi="Times New Roman" w:cs="Times New Roman"/>
                <w:sz w:val="16"/>
                <w:szCs w:val="14"/>
              </w:rPr>
              <w:t>0.1794</w:t>
            </w:r>
            <w:r w:rsidRPr="00EA4DB4">
              <w:rPr>
                <w:rFonts w:ascii="Times New Roman" w:hAnsi="Times New Roman" w:cs="Times New Roman"/>
                <w:sz w:val="16"/>
                <w:szCs w:val="14"/>
              </w:rPr>
              <w:t>)</w:t>
            </w:r>
          </w:p>
        </w:tc>
        <w:tc>
          <w:tcPr>
            <w:tcW w:w="925" w:type="dxa"/>
            <w:tcBorders>
              <w:top w:val="nil"/>
              <w:bottom w:val="double" w:sz="4" w:space="0" w:color="auto"/>
            </w:tcBorders>
            <w:vAlign w:val="center"/>
          </w:tcPr>
          <w:p w:rsidR="000A2752" w:rsidRPr="00EA4DB4" w:rsidRDefault="00E531C1" w:rsidP="00F33A35">
            <w:pPr>
              <w:jc w:val="center"/>
              <w:rPr>
                <w:rFonts w:ascii="Times New Roman" w:hAnsi="Times New Roman" w:cs="Times New Roman"/>
                <w:sz w:val="16"/>
                <w:szCs w:val="14"/>
              </w:rPr>
            </w:pPr>
            <w:r w:rsidRPr="00EA4DB4">
              <w:rPr>
                <w:rFonts w:ascii="Times New Roman" w:hAnsi="Times New Roman" w:cs="Times New Roman"/>
                <w:sz w:val="16"/>
                <w:szCs w:val="14"/>
              </w:rPr>
              <w:t>(</w:t>
            </w:r>
            <w:r w:rsidR="000A2752" w:rsidRPr="00EA4DB4">
              <w:rPr>
                <w:rFonts w:ascii="Times New Roman" w:hAnsi="Times New Roman" w:cs="Times New Roman"/>
                <w:sz w:val="16"/>
                <w:szCs w:val="14"/>
              </w:rPr>
              <w:t>0.6522</w:t>
            </w:r>
            <w:r w:rsidRPr="00EA4DB4">
              <w:rPr>
                <w:rFonts w:ascii="Times New Roman" w:hAnsi="Times New Roman" w:cs="Times New Roman"/>
                <w:sz w:val="16"/>
                <w:szCs w:val="14"/>
              </w:rPr>
              <w:t>)</w:t>
            </w:r>
          </w:p>
        </w:tc>
        <w:tc>
          <w:tcPr>
            <w:tcW w:w="935" w:type="dxa"/>
            <w:tcBorders>
              <w:top w:val="nil"/>
              <w:bottom w:val="double" w:sz="4" w:space="0" w:color="auto"/>
            </w:tcBorders>
            <w:noWrap/>
            <w:vAlign w:val="center"/>
          </w:tcPr>
          <w:p w:rsidR="000A2752" w:rsidRPr="00EA4DB4" w:rsidRDefault="00E531C1" w:rsidP="00F33A35">
            <w:pPr>
              <w:jc w:val="center"/>
              <w:rPr>
                <w:rFonts w:ascii="Times New Roman" w:hAnsi="Times New Roman" w:cs="Times New Roman"/>
                <w:sz w:val="16"/>
                <w:szCs w:val="14"/>
              </w:rPr>
            </w:pPr>
            <w:r w:rsidRPr="00EA4DB4">
              <w:rPr>
                <w:rFonts w:ascii="Times New Roman" w:hAnsi="Times New Roman" w:cs="Times New Roman"/>
                <w:sz w:val="16"/>
                <w:szCs w:val="14"/>
              </w:rPr>
              <w:t>(</w:t>
            </w:r>
            <w:r w:rsidR="000A2752" w:rsidRPr="00EA4DB4">
              <w:rPr>
                <w:rFonts w:ascii="Times New Roman" w:hAnsi="Times New Roman" w:cs="Times New Roman"/>
                <w:sz w:val="16"/>
                <w:szCs w:val="14"/>
              </w:rPr>
              <w:t>0.3061</w:t>
            </w:r>
            <w:r w:rsidRPr="00EA4DB4">
              <w:rPr>
                <w:rFonts w:ascii="Times New Roman" w:hAnsi="Times New Roman" w:cs="Times New Roman"/>
                <w:sz w:val="16"/>
                <w:szCs w:val="14"/>
              </w:rPr>
              <w:t>)</w:t>
            </w:r>
          </w:p>
        </w:tc>
        <w:tc>
          <w:tcPr>
            <w:tcW w:w="935" w:type="dxa"/>
            <w:tcBorders>
              <w:top w:val="nil"/>
              <w:bottom w:val="double" w:sz="4" w:space="0" w:color="auto"/>
            </w:tcBorders>
            <w:noWrap/>
            <w:vAlign w:val="center"/>
          </w:tcPr>
          <w:p w:rsidR="000A2752" w:rsidRPr="00EA4DB4" w:rsidRDefault="00E531C1" w:rsidP="00F33A35">
            <w:pPr>
              <w:jc w:val="center"/>
              <w:rPr>
                <w:rFonts w:ascii="Times New Roman" w:hAnsi="Times New Roman" w:cs="Times New Roman"/>
                <w:sz w:val="16"/>
                <w:szCs w:val="14"/>
              </w:rPr>
            </w:pPr>
            <w:r w:rsidRPr="00EA4DB4">
              <w:rPr>
                <w:rFonts w:ascii="Times New Roman" w:hAnsi="Times New Roman" w:cs="Times New Roman"/>
                <w:sz w:val="16"/>
                <w:szCs w:val="14"/>
              </w:rPr>
              <w:t>(</w:t>
            </w:r>
            <w:r w:rsidR="000A2752" w:rsidRPr="00EA4DB4">
              <w:rPr>
                <w:rFonts w:ascii="Times New Roman" w:hAnsi="Times New Roman" w:cs="Times New Roman"/>
                <w:sz w:val="16"/>
                <w:szCs w:val="14"/>
              </w:rPr>
              <w:t>0.3749</w:t>
            </w:r>
            <w:r w:rsidRPr="00EA4DB4">
              <w:rPr>
                <w:rFonts w:ascii="Times New Roman" w:hAnsi="Times New Roman" w:cs="Times New Roman"/>
                <w:sz w:val="16"/>
                <w:szCs w:val="14"/>
              </w:rPr>
              <w:t>)</w:t>
            </w:r>
          </w:p>
        </w:tc>
        <w:tc>
          <w:tcPr>
            <w:tcW w:w="992" w:type="dxa"/>
            <w:tcBorders>
              <w:top w:val="nil"/>
              <w:bottom w:val="double" w:sz="4" w:space="0" w:color="auto"/>
            </w:tcBorders>
            <w:vAlign w:val="center"/>
          </w:tcPr>
          <w:p w:rsidR="000A2752" w:rsidRPr="00EA4DB4" w:rsidRDefault="00E531C1" w:rsidP="00F33A35">
            <w:pPr>
              <w:jc w:val="center"/>
              <w:rPr>
                <w:rFonts w:ascii="Times New Roman" w:hAnsi="Times New Roman" w:cs="Times New Roman"/>
                <w:sz w:val="16"/>
                <w:szCs w:val="14"/>
              </w:rPr>
            </w:pPr>
            <w:r w:rsidRPr="00EA4DB4">
              <w:rPr>
                <w:rFonts w:ascii="Times New Roman" w:hAnsi="Times New Roman" w:cs="Times New Roman"/>
                <w:sz w:val="16"/>
                <w:szCs w:val="14"/>
              </w:rPr>
              <w:t>(</w:t>
            </w:r>
            <w:r w:rsidR="000A2752" w:rsidRPr="00EA4DB4">
              <w:rPr>
                <w:rFonts w:ascii="Times New Roman" w:hAnsi="Times New Roman" w:cs="Times New Roman"/>
                <w:sz w:val="16"/>
                <w:szCs w:val="14"/>
              </w:rPr>
              <w:t>0.6525</w:t>
            </w:r>
            <w:r w:rsidRPr="00EA4DB4">
              <w:rPr>
                <w:rFonts w:ascii="Times New Roman" w:hAnsi="Times New Roman" w:cs="Times New Roman"/>
                <w:sz w:val="16"/>
                <w:szCs w:val="14"/>
              </w:rPr>
              <w:t>)</w:t>
            </w:r>
          </w:p>
        </w:tc>
        <w:tc>
          <w:tcPr>
            <w:tcW w:w="1063" w:type="dxa"/>
            <w:tcBorders>
              <w:top w:val="nil"/>
              <w:bottom w:val="double" w:sz="4" w:space="0" w:color="auto"/>
            </w:tcBorders>
            <w:vAlign w:val="center"/>
          </w:tcPr>
          <w:p w:rsidR="000A2752" w:rsidRPr="00EA4DB4" w:rsidRDefault="00E531C1" w:rsidP="00F33A35">
            <w:pPr>
              <w:jc w:val="center"/>
              <w:rPr>
                <w:rFonts w:ascii="Times New Roman" w:hAnsi="Times New Roman" w:cs="Times New Roman"/>
                <w:sz w:val="16"/>
                <w:szCs w:val="14"/>
              </w:rPr>
            </w:pPr>
            <w:r w:rsidRPr="00EA4DB4">
              <w:rPr>
                <w:rFonts w:ascii="Times New Roman" w:hAnsi="Times New Roman" w:cs="Times New Roman"/>
                <w:sz w:val="16"/>
                <w:szCs w:val="14"/>
              </w:rPr>
              <w:t>(</w:t>
            </w:r>
            <w:r w:rsidR="000A2752" w:rsidRPr="00EA4DB4">
              <w:rPr>
                <w:rFonts w:ascii="Times New Roman" w:hAnsi="Times New Roman" w:cs="Times New Roman"/>
                <w:sz w:val="16"/>
                <w:szCs w:val="14"/>
              </w:rPr>
              <w:t>0.7756</w:t>
            </w:r>
            <w:r w:rsidRPr="00EA4DB4">
              <w:rPr>
                <w:rFonts w:ascii="Times New Roman" w:hAnsi="Times New Roman" w:cs="Times New Roman"/>
                <w:sz w:val="16"/>
                <w:szCs w:val="14"/>
              </w:rPr>
              <w:t>)</w:t>
            </w:r>
          </w:p>
        </w:tc>
        <w:tc>
          <w:tcPr>
            <w:tcW w:w="1096" w:type="dxa"/>
            <w:tcBorders>
              <w:top w:val="nil"/>
              <w:bottom w:val="double" w:sz="4" w:space="0" w:color="auto"/>
            </w:tcBorders>
            <w:noWrap/>
            <w:vAlign w:val="center"/>
          </w:tcPr>
          <w:p w:rsidR="000A2752" w:rsidRPr="00EA4DB4" w:rsidRDefault="00E531C1" w:rsidP="00F33A35">
            <w:pPr>
              <w:jc w:val="center"/>
              <w:rPr>
                <w:rFonts w:ascii="Times New Roman" w:hAnsi="Times New Roman" w:cs="Times New Roman"/>
                <w:sz w:val="16"/>
                <w:szCs w:val="14"/>
              </w:rPr>
            </w:pPr>
            <w:r w:rsidRPr="00EA4DB4">
              <w:rPr>
                <w:rFonts w:ascii="Times New Roman" w:hAnsi="Times New Roman" w:cs="Times New Roman"/>
                <w:sz w:val="16"/>
                <w:szCs w:val="14"/>
              </w:rPr>
              <w:t>(</w:t>
            </w:r>
            <w:r w:rsidR="000A2752" w:rsidRPr="00EA4DB4">
              <w:rPr>
                <w:rFonts w:ascii="Times New Roman" w:hAnsi="Times New Roman" w:cs="Times New Roman"/>
                <w:sz w:val="16"/>
                <w:szCs w:val="14"/>
              </w:rPr>
              <w:t>0.8983</w:t>
            </w:r>
            <w:r w:rsidRPr="00EA4DB4">
              <w:rPr>
                <w:rFonts w:ascii="Times New Roman" w:hAnsi="Times New Roman" w:cs="Times New Roman"/>
                <w:sz w:val="16"/>
                <w:szCs w:val="14"/>
              </w:rPr>
              <w:t>)</w:t>
            </w:r>
          </w:p>
        </w:tc>
        <w:tc>
          <w:tcPr>
            <w:tcW w:w="989" w:type="dxa"/>
            <w:tcBorders>
              <w:top w:val="nil"/>
              <w:bottom w:val="double" w:sz="4" w:space="0" w:color="auto"/>
            </w:tcBorders>
            <w:noWrap/>
            <w:vAlign w:val="center"/>
          </w:tcPr>
          <w:p w:rsidR="000A2752" w:rsidRPr="00EA4DB4" w:rsidRDefault="00E531C1" w:rsidP="00F33A35">
            <w:pPr>
              <w:jc w:val="center"/>
              <w:rPr>
                <w:rFonts w:ascii="Times New Roman" w:hAnsi="Times New Roman" w:cs="Times New Roman"/>
                <w:sz w:val="16"/>
                <w:szCs w:val="14"/>
              </w:rPr>
            </w:pPr>
            <w:r w:rsidRPr="00EA4DB4">
              <w:rPr>
                <w:rFonts w:ascii="Times New Roman" w:hAnsi="Times New Roman" w:cs="Times New Roman"/>
                <w:sz w:val="16"/>
                <w:szCs w:val="14"/>
              </w:rPr>
              <w:t>(</w:t>
            </w:r>
            <w:r w:rsidR="000A2752" w:rsidRPr="00EA4DB4">
              <w:rPr>
                <w:rFonts w:ascii="Times New Roman" w:hAnsi="Times New Roman" w:cs="Times New Roman"/>
                <w:sz w:val="16"/>
                <w:szCs w:val="14"/>
              </w:rPr>
              <w:t>0.179</w:t>
            </w:r>
            <w:r w:rsidRPr="00EA4DB4">
              <w:rPr>
                <w:rFonts w:ascii="Times New Roman" w:hAnsi="Times New Roman" w:cs="Times New Roman"/>
                <w:sz w:val="16"/>
                <w:szCs w:val="14"/>
              </w:rPr>
              <w:t>0)</w:t>
            </w:r>
          </w:p>
        </w:tc>
        <w:tc>
          <w:tcPr>
            <w:tcW w:w="989" w:type="dxa"/>
            <w:tcBorders>
              <w:top w:val="nil"/>
              <w:bottom w:val="double" w:sz="4" w:space="0" w:color="auto"/>
            </w:tcBorders>
            <w:vAlign w:val="center"/>
          </w:tcPr>
          <w:p w:rsidR="000A2752" w:rsidRPr="00EA4DB4" w:rsidRDefault="000A2752" w:rsidP="00F33A35">
            <w:pPr>
              <w:jc w:val="center"/>
              <w:rPr>
                <w:rFonts w:ascii="Times New Roman" w:hAnsi="Times New Roman" w:cs="Times New Roman"/>
                <w:sz w:val="16"/>
                <w:szCs w:val="14"/>
              </w:rPr>
            </w:pPr>
          </w:p>
        </w:tc>
      </w:tr>
    </w:tbl>
    <w:p w:rsidR="00821BD4" w:rsidRPr="00EE1141" w:rsidRDefault="00821BD4" w:rsidP="00821BD4">
      <w:pPr>
        <w:rPr>
          <w:rFonts w:ascii="Times New Roman" w:hAnsi="Times New Roman" w:cs="Times New Roman"/>
        </w:rPr>
      </w:pPr>
      <w:r w:rsidRPr="00EE1141">
        <w:rPr>
          <w:rFonts w:ascii="Times New Roman" w:hAnsi="Times New Roman" w:cs="Times New Roman"/>
        </w:rPr>
        <w:br w:type="page"/>
      </w:r>
    </w:p>
    <w:p w:rsidR="00821BD4" w:rsidRPr="00EE1141" w:rsidRDefault="00821BD4" w:rsidP="00821BD4">
      <w:pPr>
        <w:autoSpaceDE w:val="0"/>
        <w:autoSpaceDN w:val="0"/>
        <w:adjustRightInd w:val="0"/>
        <w:spacing w:after="0" w:line="480" w:lineRule="auto"/>
        <w:jc w:val="both"/>
        <w:rPr>
          <w:rFonts w:ascii="Times New Roman" w:hAnsi="Times New Roman" w:cs="Times New Roman"/>
          <w:b/>
          <w:sz w:val="20"/>
          <w:szCs w:val="16"/>
        </w:rPr>
        <w:sectPr w:rsidR="00821BD4" w:rsidRPr="00EE1141" w:rsidSect="003465DB">
          <w:footerReference w:type="default" r:id="rId16"/>
          <w:footnotePr>
            <w:numFmt w:val="chicago"/>
          </w:footnotePr>
          <w:pgSz w:w="15840" w:h="12240" w:orient="landscape"/>
          <w:pgMar w:top="1440" w:right="1440" w:bottom="1440" w:left="1267" w:header="720" w:footer="720" w:gutter="0"/>
          <w:cols w:space="720"/>
          <w:docGrid w:linePitch="360"/>
        </w:sectPr>
      </w:pPr>
    </w:p>
    <w:p w:rsidR="00821BD4" w:rsidRPr="00EE1141" w:rsidRDefault="00821BD4" w:rsidP="002D0C41">
      <w:pPr>
        <w:autoSpaceDE w:val="0"/>
        <w:autoSpaceDN w:val="0"/>
        <w:adjustRightInd w:val="0"/>
        <w:spacing w:after="0" w:line="360" w:lineRule="auto"/>
        <w:jc w:val="both"/>
        <w:rPr>
          <w:rFonts w:ascii="Times New Roman" w:hAnsi="Times New Roman" w:cs="Times New Roman"/>
          <w:b/>
          <w:sz w:val="20"/>
          <w:szCs w:val="16"/>
        </w:rPr>
      </w:pPr>
      <w:r w:rsidRPr="00EE1141">
        <w:rPr>
          <w:rFonts w:ascii="Times New Roman" w:hAnsi="Times New Roman" w:cs="Times New Roman"/>
          <w:b/>
          <w:sz w:val="20"/>
          <w:szCs w:val="16"/>
        </w:rPr>
        <w:lastRenderedPageBreak/>
        <w:t xml:space="preserve">Table 3 </w:t>
      </w:r>
      <w:r w:rsidR="002D0C41">
        <w:rPr>
          <w:rFonts w:ascii="Times New Roman" w:hAnsi="Times New Roman" w:cs="Times New Roman"/>
          <w:b/>
          <w:sz w:val="20"/>
          <w:szCs w:val="16"/>
        </w:rPr>
        <w:t xml:space="preserve">– </w:t>
      </w:r>
      <w:r w:rsidRPr="00EE1141">
        <w:rPr>
          <w:rFonts w:ascii="Times New Roman" w:hAnsi="Times New Roman" w:cs="Times New Roman"/>
          <w:b/>
          <w:sz w:val="20"/>
          <w:szCs w:val="16"/>
        </w:rPr>
        <w:t>Capital Expenditures by Fiscal and Calendar Quarter</w:t>
      </w:r>
    </w:p>
    <w:p w:rsidR="00821BD4" w:rsidRPr="00EE1141" w:rsidRDefault="00821BD4" w:rsidP="005B6BA7">
      <w:pPr>
        <w:spacing w:after="0" w:line="240" w:lineRule="auto"/>
        <w:ind w:firstLine="288"/>
        <w:jc w:val="both"/>
        <w:rPr>
          <w:rFonts w:ascii="Times New Roman" w:hAnsi="Times New Roman" w:cs="Times New Roman"/>
          <w:sz w:val="16"/>
        </w:rPr>
      </w:pPr>
      <w:r w:rsidRPr="00EE1141">
        <w:rPr>
          <w:rFonts w:ascii="Times New Roman" w:hAnsi="Times New Roman" w:cs="Times New Roman"/>
          <w:sz w:val="16"/>
        </w:rPr>
        <w:t xml:space="preserve">Panel A reports the basic statistics of firm-level variables by fiscal quarter. In Columns 1 and 2, </w:t>
      </w:r>
      <w:r w:rsidR="00572912" w:rsidRPr="00EE1141">
        <w:rPr>
          <w:rFonts w:ascii="Times New Roman" w:hAnsi="Times New Roman" w:cs="Times New Roman"/>
          <w:sz w:val="16"/>
        </w:rPr>
        <w:t>CapEx is defined as quarterly capital expenditures over total assets</w:t>
      </w:r>
      <w:r w:rsidR="00572912">
        <w:rPr>
          <w:rFonts w:ascii="Times New Roman" w:hAnsi="Times New Roman" w:cs="Times New Roman"/>
          <w:sz w:val="16"/>
        </w:rPr>
        <w:t xml:space="preserve"> at the beginning of the quarter</w:t>
      </w:r>
      <w:r w:rsidR="00572912" w:rsidRPr="00EE1141">
        <w:rPr>
          <w:rFonts w:ascii="Times New Roman" w:hAnsi="Times New Roman" w:cs="Times New Roman"/>
          <w:sz w:val="16"/>
        </w:rPr>
        <w:t xml:space="preserve"> and CapEx_PPE as quarterly capital expenditures over property, plant, &amp; equipment</w:t>
      </w:r>
      <w:r w:rsidR="00572912">
        <w:rPr>
          <w:rFonts w:ascii="Times New Roman" w:hAnsi="Times New Roman" w:cs="Times New Roman"/>
          <w:sz w:val="16"/>
        </w:rPr>
        <w:t xml:space="preserve"> at the beginning of the quarter.</w:t>
      </w:r>
      <w:r w:rsidRPr="00EE1141">
        <w:rPr>
          <w:rFonts w:ascii="Times New Roman" w:hAnsi="Times New Roman" w:cs="Times New Roman"/>
          <w:sz w:val="16"/>
        </w:rPr>
        <w:t xml:space="preserve"> C</w:t>
      </w:r>
      <w:r w:rsidR="00056731">
        <w:rPr>
          <w:rFonts w:ascii="Times New Roman" w:hAnsi="Times New Roman" w:cs="Times New Roman"/>
          <w:sz w:val="16"/>
        </w:rPr>
        <w:t>ash Flow</w:t>
      </w:r>
      <w:r w:rsidRPr="00EE1141">
        <w:rPr>
          <w:rFonts w:ascii="Times New Roman" w:hAnsi="Times New Roman" w:cs="Times New Roman"/>
          <w:sz w:val="16"/>
        </w:rPr>
        <w:t xml:space="preserve"> in Column 3 is constructed as </w:t>
      </w:r>
      <w:r w:rsidR="005B6E0B" w:rsidRPr="005B6E0B">
        <w:rPr>
          <w:rFonts w:ascii="Times New Roman" w:hAnsi="Times New Roman" w:cs="Times New Roman"/>
          <w:sz w:val="16"/>
        </w:rPr>
        <w:t xml:space="preserve">the sum of quarterly income before extraordinary items and depreciation and amortization, divided by firm’s assets at the beginning of each quarter. </w:t>
      </w:r>
      <w:r w:rsidRPr="00EE1141">
        <w:rPr>
          <w:rFonts w:ascii="Times New Roman" w:hAnsi="Times New Roman" w:cs="Times New Roman"/>
          <w:sz w:val="16"/>
        </w:rPr>
        <w:t xml:space="preserve">Tobin’s </w:t>
      </w:r>
      <w:r w:rsidR="00C03D20">
        <w:rPr>
          <w:rFonts w:ascii="Times New Roman" w:hAnsi="Times New Roman" w:cs="Times New Roman"/>
          <w:sz w:val="16"/>
        </w:rPr>
        <w:t>q</w:t>
      </w:r>
      <w:r w:rsidRPr="00EE1141">
        <w:rPr>
          <w:rFonts w:ascii="Times New Roman" w:hAnsi="Times New Roman" w:cs="Times New Roman"/>
          <w:sz w:val="16"/>
        </w:rPr>
        <w:t xml:space="preserve"> in Column 4 </w:t>
      </w:r>
      <w:r w:rsidR="00AF4C8A">
        <w:rPr>
          <w:rFonts w:ascii="Times New Roman" w:hAnsi="Times New Roman" w:cs="Times New Roman"/>
          <w:sz w:val="16"/>
        </w:rPr>
        <w:t>is proxied as</w:t>
      </w:r>
      <w:r w:rsidRPr="00EE1141">
        <w:rPr>
          <w:rFonts w:ascii="Times New Roman" w:hAnsi="Times New Roman" w:cs="Times New Roman"/>
          <w:sz w:val="16"/>
        </w:rPr>
        <w:t xml:space="preserve"> the ratio of market value of assets over book value of assets at the beginning of each quarter, and is bounded above at 10. In Column 5, </w:t>
      </w:r>
      <w:r w:rsidR="0053468B">
        <w:rPr>
          <w:rFonts w:ascii="Times New Roman" w:hAnsi="Times New Roman" w:cs="Times New Roman"/>
          <w:sz w:val="16"/>
        </w:rPr>
        <w:t>Sales Growth</w:t>
      </w:r>
      <w:r w:rsidRPr="00EE1141">
        <w:rPr>
          <w:rFonts w:ascii="Times New Roman" w:hAnsi="Times New Roman" w:cs="Times New Roman"/>
          <w:sz w:val="16"/>
        </w:rPr>
        <w:t xml:space="preserve"> is quarterly </w:t>
      </w:r>
      <w:r w:rsidR="0053468B">
        <w:rPr>
          <w:rFonts w:ascii="Times New Roman" w:hAnsi="Times New Roman" w:cs="Times New Roman"/>
          <w:sz w:val="16"/>
        </w:rPr>
        <w:t>growth rate of sales</w:t>
      </w:r>
      <w:r w:rsidRPr="00EE1141">
        <w:rPr>
          <w:rFonts w:ascii="Times New Roman" w:hAnsi="Times New Roman" w:cs="Times New Roman"/>
          <w:sz w:val="16"/>
        </w:rPr>
        <w:t xml:space="preserve">. In Column 6, </w:t>
      </w:r>
      <w:r w:rsidR="00056731">
        <w:rPr>
          <w:rFonts w:ascii="Times New Roman" w:hAnsi="Times New Roman" w:cs="Times New Roman"/>
          <w:sz w:val="16"/>
        </w:rPr>
        <w:t>Change in Cash Holdings</w:t>
      </w:r>
      <w:r w:rsidRPr="00EE1141">
        <w:rPr>
          <w:rFonts w:ascii="Times New Roman" w:hAnsi="Times New Roman" w:cs="Times New Roman"/>
          <w:sz w:val="16"/>
        </w:rPr>
        <w:t xml:space="preserve"> is the difference of cash holding from that in the previous fiscal quarter, and cash holding is defined as </w:t>
      </w:r>
      <w:r w:rsidR="00572912">
        <w:rPr>
          <w:rFonts w:ascii="Times New Roman" w:hAnsi="Times New Roman" w:cs="Times New Roman"/>
          <w:sz w:val="16"/>
        </w:rPr>
        <w:t>c</w:t>
      </w:r>
      <w:r w:rsidR="00572912" w:rsidRPr="000E266E">
        <w:rPr>
          <w:rFonts w:ascii="Times New Roman" w:hAnsi="Times New Roman" w:cs="Times New Roman"/>
          <w:sz w:val="16"/>
        </w:rPr>
        <w:t xml:space="preserve">ash and </w:t>
      </w:r>
      <w:r w:rsidR="00572912">
        <w:rPr>
          <w:rFonts w:ascii="Times New Roman" w:hAnsi="Times New Roman" w:cs="Times New Roman"/>
          <w:sz w:val="16"/>
        </w:rPr>
        <w:t>s</w:t>
      </w:r>
      <w:r w:rsidR="00572912" w:rsidRPr="000E266E">
        <w:rPr>
          <w:rFonts w:ascii="Times New Roman" w:hAnsi="Times New Roman" w:cs="Times New Roman"/>
          <w:sz w:val="16"/>
        </w:rPr>
        <w:t>hort-</w:t>
      </w:r>
      <w:r w:rsidR="00572912">
        <w:rPr>
          <w:rFonts w:ascii="Times New Roman" w:hAnsi="Times New Roman" w:cs="Times New Roman"/>
          <w:sz w:val="16"/>
        </w:rPr>
        <w:t>t</w:t>
      </w:r>
      <w:r w:rsidR="00572912" w:rsidRPr="000E266E">
        <w:rPr>
          <w:rFonts w:ascii="Times New Roman" w:hAnsi="Times New Roman" w:cs="Times New Roman"/>
          <w:sz w:val="16"/>
        </w:rPr>
        <w:t xml:space="preserve">erm Investments </w:t>
      </w:r>
      <w:r w:rsidRPr="00EE1141">
        <w:rPr>
          <w:rFonts w:ascii="Times New Roman" w:hAnsi="Times New Roman" w:cs="Times New Roman"/>
          <w:sz w:val="16"/>
        </w:rPr>
        <w:t xml:space="preserve">over assets. </w:t>
      </w:r>
      <w:r w:rsidR="00056731">
        <w:rPr>
          <w:rFonts w:ascii="Times New Roman" w:hAnsi="Times New Roman" w:cs="Times New Roman"/>
          <w:sz w:val="16"/>
        </w:rPr>
        <w:t>Leverage</w:t>
      </w:r>
      <w:r w:rsidRPr="00EE1141">
        <w:rPr>
          <w:rFonts w:ascii="Times New Roman" w:hAnsi="Times New Roman" w:cs="Times New Roman"/>
          <w:sz w:val="16"/>
        </w:rPr>
        <w:t xml:space="preserve"> in Column 7 stands for quarterly leverage, defined as total debt over total assets. Finally, Column </w:t>
      </w:r>
      <w:r w:rsidR="005B6BA7">
        <w:rPr>
          <w:rFonts w:ascii="Times New Roman" w:hAnsi="Times New Roman" w:cs="Times New Roman"/>
          <w:sz w:val="16"/>
        </w:rPr>
        <w:t>8</w:t>
      </w:r>
      <w:r w:rsidRPr="00EE1141">
        <w:rPr>
          <w:rFonts w:ascii="Times New Roman" w:hAnsi="Times New Roman" w:cs="Times New Roman"/>
          <w:sz w:val="16"/>
        </w:rPr>
        <w:t xml:space="preserve"> shows the similar pattern of quarterly capital expenditure in the subsample</w:t>
      </w:r>
      <w:r w:rsidR="00572912">
        <w:rPr>
          <w:rFonts w:ascii="Times New Roman" w:hAnsi="Times New Roman" w:cs="Times New Roman"/>
          <w:sz w:val="16"/>
        </w:rPr>
        <w:t xml:space="preserve"> excluding US firms</w:t>
      </w:r>
      <w:r w:rsidRPr="00EE1141">
        <w:rPr>
          <w:rFonts w:ascii="Times New Roman" w:hAnsi="Times New Roman" w:cs="Times New Roman"/>
          <w:sz w:val="16"/>
        </w:rPr>
        <w:t>.</w:t>
      </w:r>
    </w:p>
    <w:p w:rsidR="00821BD4" w:rsidRPr="00EE1141" w:rsidRDefault="00821BD4" w:rsidP="005B6BA7">
      <w:pPr>
        <w:spacing w:after="240" w:line="240" w:lineRule="auto"/>
        <w:ind w:firstLine="288"/>
        <w:jc w:val="both"/>
        <w:rPr>
          <w:rFonts w:ascii="Times New Roman" w:hAnsi="Times New Roman" w:cs="Times New Roman"/>
          <w:sz w:val="16"/>
          <w:szCs w:val="18"/>
        </w:rPr>
      </w:pPr>
      <w:r w:rsidRPr="00EE1141">
        <w:rPr>
          <w:rFonts w:ascii="Times New Roman" w:hAnsi="Times New Roman" w:cs="Times New Roman"/>
          <w:sz w:val="16"/>
          <w:szCs w:val="18"/>
        </w:rPr>
        <w:t xml:space="preserve">Panel B </w:t>
      </w:r>
      <w:r w:rsidR="009F11C1">
        <w:rPr>
          <w:rFonts w:ascii="Times New Roman" w:hAnsi="Times New Roman" w:cs="Times New Roman"/>
          <w:sz w:val="16"/>
          <w:szCs w:val="18"/>
        </w:rPr>
        <w:t xml:space="preserve">(C) </w:t>
      </w:r>
      <w:r w:rsidRPr="00EE1141">
        <w:rPr>
          <w:rFonts w:ascii="Times New Roman" w:hAnsi="Times New Roman" w:cs="Times New Roman"/>
          <w:sz w:val="16"/>
          <w:szCs w:val="18"/>
        </w:rPr>
        <w:t xml:space="preserve">reports the means and medians of the same variables as in Panel A but instead through each </w:t>
      </w:r>
      <w:r w:rsidRPr="00EE1141">
        <w:rPr>
          <w:rFonts w:ascii="Times New Roman" w:hAnsi="Times New Roman" w:cs="Times New Roman"/>
          <w:b/>
          <w:sz w:val="16"/>
          <w:szCs w:val="18"/>
        </w:rPr>
        <w:t>calendar</w:t>
      </w:r>
      <w:r w:rsidR="009F11C1">
        <w:rPr>
          <w:rFonts w:ascii="Times New Roman" w:hAnsi="Times New Roman" w:cs="Times New Roman"/>
          <w:b/>
          <w:sz w:val="16"/>
          <w:szCs w:val="18"/>
        </w:rPr>
        <w:t xml:space="preserve"> (fiscal)</w:t>
      </w:r>
      <w:r w:rsidRPr="00EE1141">
        <w:rPr>
          <w:rFonts w:ascii="Times New Roman" w:hAnsi="Times New Roman" w:cs="Times New Roman"/>
          <w:sz w:val="16"/>
          <w:szCs w:val="18"/>
        </w:rPr>
        <w:t xml:space="preserve"> quarter for a subsample in which firms have fiscal year-end different from December. </w:t>
      </w:r>
    </w:p>
    <w:tbl>
      <w:tblPr>
        <w:tblStyle w:val="a3"/>
        <w:tblW w:w="9077" w:type="dxa"/>
        <w:tblLayout w:type="fixed"/>
        <w:tblLook w:val="04A0" w:firstRow="1" w:lastRow="0" w:firstColumn="1" w:lastColumn="0" w:noHBand="0" w:noVBand="1"/>
      </w:tblPr>
      <w:tblGrid>
        <w:gridCol w:w="864"/>
        <w:gridCol w:w="1114"/>
        <w:gridCol w:w="779"/>
        <w:gridCol w:w="1008"/>
        <w:gridCol w:w="779"/>
        <w:gridCol w:w="779"/>
        <w:gridCol w:w="874"/>
        <w:gridCol w:w="1230"/>
        <w:gridCol w:w="840"/>
        <w:gridCol w:w="810"/>
      </w:tblGrid>
      <w:tr w:rsidR="00821BD4" w:rsidRPr="005A5576" w:rsidTr="002C75DB">
        <w:trPr>
          <w:trHeight w:val="300"/>
        </w:trPr>
        <w:tc>
          <w:tcPr>
            <w:tcW w:w="9077" w:type="dxa"/>
            <w:gridSpan w:val="10"/>
            <w:tcBorders>
              <w:top w:val="double" w:sz="4" w:space="0" w:color="auto"/>
              <w:left w:val="nil"/>
              <w:bottom w:val="nil"/>
              <w:right w:val="nil"/>
            </w:tcBorders>
            <w:noWrap/>
            <w:vAlign w:val="center"/>
          </w:tcPr>
          <w:p w:rsidR="00821BD4" w:rsidRPr="005A5576" w:rsidRDefault="00821BD4" w:rsidP="00572912">
            <w:pPr>
              <w:widowControl w:val="0"/>
              <w:autoSpaceDE w:val="0"/>
              <w:autoSpaceDN w:val="0"/>
              <w:adjustRightInd w:val="0"/>
              <w:jc w:val="center"/>
              <w:rPr>
                <w:rFonts w:ascii="Times New Roman" w:hAnsi="Times New Roman" w:cs="Times New Roman"/>
                <w:sz w:val="18"/>
                <w:szCs w:val="16"/>
              </w:rPr>
            </w:pPr>
            <w:r w:rsidRPr="005A5576">
              <w:rPr>
                <w:rFonts w:ascii="Times New Roman" w:hAnsi="Times New Roman" w:cs="Times New Roman"/>
                <w:sz w:val="18"/>
                <w:szCs w:val="16"/>
              </w:rPr>
              <w:t xml:space="preserve">Panel A: Firm </w:t>
            </w:r>
            <w:r w:rsidR="00572912">
              <w:rPr>
                <w:rFonts w:ascii="Times New Roman" w:hAnsi="Times New Roman" w:cs="Times New Roman"/>
                <w:sz w:val="18"/>
                <w:szCs w:val="16"/>
              </w:rPr>
              <w:t>V</w:t>
            </w:r>
            <w:r w:rsidRPr="005A5576">
              <w:rPr>
                <w:rFonts w:ascii="Times New Roman" w:hAnsi="Times New Roman" w:cs="Times New Roman"/>
                <w:sz w:val="18"/>
                <w:szCs w:val="16"/>
              </w:rPr>
              <w:t xml:space="preserve">ariable </w:t>
            </w:r>
            <w:r w:rsidR="00572912">
              <w:rPr>
                <w:rFonts w:ascii="Times New Roman" w:hAnsi="Times New Roman" w:cs="Times New Roman"/>
                <w:sz w:val="18"/>
                <w:szCs w:val="16"/>
              </w:rPr>
              <w:t>Summary S</w:t>
            </w:r>
            <w:r w:rsidRPr="005A5576">
              <w:rPr>
                <w:rFonts w:ascii="Times New Roman" w:hAnsi="Times New Roman" w:cs="Times New Roman"/>
                <w:sz w:val="18"/>
                <w:szCs w:val="16"/>
              </w:rPr>
              <w:t xml:space="preserve">tatistics by </w:t>
            </w:r>
            <w:r w:rsidR="00572912">
              <w:rPr>
                <w:rFonts w:ascii="Times New Roman" w:hAnsi="Times New Roman" w:cs="Times New Roman"/>
                <w:sz w:val="18"/>
                <w:szCs w:val="16"/>
              </w:rPr>
              <w:t>F</w:t>
            </w:r>
            <w:r w:rsidRPr="005A5576">
              <w:rPr>
                <w:rFonts w:ascii="Times New Roman" w:hAnsi="Times New Roman" w:cs="Times New Roman"/>
                <w:sz w:val="18"/>
                <w:szCs w:val="16"/>
              </w:rPr>
              <w:t xml:space="preserve">iscal </w:t>
            </w:r>
            <w:r w:rsidR="00572912">
              <w:rPr>
                <w:rFonts w:ascii="Times New Roman" w:hAnsi="Times New Roman" w:cs="Times New Roman"/>
                <w:sz w:val="18"/>
                <w:szCs w:val="16"/>
              </w:rPr>
              <w:t>Q</w:t>
            </w:r>
            <w:r w:rsidRPr="005A5576">
              <w:rPr>
                <w:rFonts w:ascii="Times New Roman" w:hAnsi="Times New Roman" w:cs="Times New Roman"/>
                <w:sz w:val="18"/>
                <w:szCs w:val="16"/>
              </w:rPr>
              <w:t>uarter</w:t>
            </w:r>
          </w:p>
        </w:tc>
      </w:tr>
      <w:tr w:rsidR="00821BD4" w:rsidRPr="00056731" w:rsidTr="002C75DB">
        <w:trPr>
          <w:trHeight w:val="300"/>
        </w:trPr>
        <w:tc>
          <w:tcPr>
            <w:tcW w:w="864" w:type="dxa"/>
            <w:tcBorders>
              <w:top w:val="single" w:sz="4" w:space="0" w:color="auto"/>
              <w:left w:val="nil"/>
              <w:bottom w:val="nil"/>
              <w:right w:val="nil"/>
            </w:tcBorders>
            <w:noWrap/>
            <w:vAlign w:val="center"/>
          </w:tcPr>
          <w:p w:rsidR="00821BD4" w:rsidRPr="00056731" w:rsidRDefault="00821BD4" w:rsidP="00056731">
            <w:pPr>
              <w:jc w:val="center"/>
              <w:rPr>
                <w:rFonts w:ascii="Times New Roman" w:hAnsi="Times New Roman" w:cs="Times New Roman"/>
                <w:sz w:val="16"/>
                <w:szCs w:val="16"/>
              </w:rPr>
            </w:pPr>
          </w:p>
        </w:tc>
        <w:tc>
          <w:tcPr>
            <w:tcW w:w="1114" w:type="dxa"/>
            <w:tcBorders>
              <w:top w:val="single" w:sz="4" w:space="0" w:color="auto"/>
              <w:left w:val="nil"/>
              <w:bottom w:val="nil"/>
              <w:right w:val="nil"/>
            </w:tcBorders>
            <w:noWrap/>
            <w:vAlign w:val="center"/>
          </w:tcPr>
          <w:p w:rsidR="00821BD4" w:rsidRPr="00056731" w:rsidRDefault="00821BD4" w:rsidP="00056731">
            <w:pPr>
              <w:widowControl w:val="0"/>
              <w:autoSpaceDE w:val="0"/>
              <w:autoSpaceDN w:val="0"/>
              <w:adjustRightInd w:val="0"/>
              <w:jc w:val="center"/>
              <w:rPr>
                <w:rFonts w:ascii="Times New Roman" w:hAnsi="Times New Roman" w:cs="Times New Roman"/>
                <w:sz w:val="16"/>
                <w:szCs w:val="16"/>
              </w:rPr>
            </w:pPr>
          </w:p>
        </w:tc>
        <w:tc>
          <w:tcPr>
            <w:tcW w:w="779" w:type="dxa"/>
            <w:tcBorders>
              <w:top w:val="single" w:sz="4" w:space="0" w:color="auto"/>
              <w:left w:val="nil"/>
              <w:bottom w:val="nil"/>
              <w:right w:val="nil"/>
            </w:tcBorders>
            <w:vAlign w:val="center"/>
          </w:tcPr>
          <w:p w:rsidR="00821BD4" w:rsidRPr="00056731" w:rsidRDefault="00821BD4" w:rsidP="00056731">
            <w:pPr>
              <w:widowControl w:val="0"/>
              <w:autoSpaceDE w:val="0"/>
              <w:autoSpaceDN w:val="0"/>
              <w:adjustRightInd w:val="0"/>
              <w:jc w:val="center"/>
              <w:rPr>
                <w:rFonts w:ascii="Times New Roman" w:hAnsi="Times New Roman" w:cs="Times New Roman"/>
                <w:sz w:val="16"/>
                <w:szCs w:val="16"/>
              </w:rPr>
            </w:pPr>
            <w:r w:rsidRPr="00056731">
              <w:rPr>
                <w:rFonts w:ascii="Times New Roman" w:hAnsi="Times New Roman" w:cs="Times New Roman"/>
                <w:sz w:val="16"/>
                <w:szCs w:val="16"/>
              </w:rPr>
              <w:t>(1)</w:t>
            </w:r>
          </w:p>
        </w:tc>
        <w:tc>
          <w:tcPr>
            <w:tcW w:w="1008" w:type="dxa"/>
            <w:tcBorders>
              <w:top w:val="single" w:sz="4" w:space="0" w:color="auto"/>
              <w:left w:val="nil"/>
              <w:bottom w:val="nil"/>
              <w:right w:val="nil"/>
            </w:tcBorders>
            <w:vAlign w:val="center"/>
          </w:tcPr>
          <w:p w:rsidR="00821BD4" w:rsidRPr="00056731" w:rsidRDefault="00821BD4" w:rsidP="00056731">
            <w:pPr>
              <w:widowControl w:val="0"/>
              <w:autoSpaceDE w:val="0"/>
              <w:autoSpaceDN w:val="0"/>
              <w:adjustRightInd w:val="0"/>
              <w:jc w:val="center"/>
              <w:rPr>
                <w:rFonts w:ascii="Times New Roman" w:hAnsi="Times New Roman" w:cs="Times New Roman"/>
                <w:sz w:val="16"/>
                <w:szCs w:val="16"/>
              </w:rPr>
            </w:pPr>
            <w:r w:rsidRPr="00056731">
              <w:rPr>
                <w:rFonts w:ascii="Times New Roman" w:hAnsi="Times New Roman" w:cs="Times New Roman"/>
                <w:sz w:val="16"/>
                <w:szCs w:val="16"/>
              </w:rPr>
              <w:t>(2)</w:t>
            </w:r>
          </w:p>
        </w:tc>
        <w:tc>
          <w:tcPr>
            <w:tcW w:w="779" w:type="dxa"/>
            <w:tcBorders>
              <w:top w:val="single" w:sz="4" w:space="0" w:color="auto"/>
              <w:left w:val="nil"/>
              <w:bottom w:val="nil"/>
              <w:right w:val="nil"/>
            </w:tcBorders>
            <w:vAlign w:val="center"/>
          </w:tcPr>
          <w:p w:rsidR="00821BD4" w:rsidRPr="00056731" w:rsidRDefault="00821BD4" w:rsidP="00056731">
            <w:pPr>
              <w:widowControl w:val="0"/>
              <w:autoSpaceDE w:val="0"/>
              <w:autoSpaceDN w:val="0"/>
              <w:adjustRightInd w:val="0"/>
              <w:jc w:val="center"/>
              <w:rPr>
                <w:rFonts w:ascii="Times New Roman" w:hAnsi="Times New Roman" w:cs="Times New Roman"/>
                <w:sz w:val="16"/>
                <w:szCs w:val="16"/>
              </w:rPr>
            </w:pPr>
            <w:r w:rsidRPr="00056731">
              <w:rPr>
                <w:rFonts w:ascii="Times New Roman" w:hAnsi="Times New Roman" w:cs="Times New Roman"/>
                <w:sz w:val="16"/>
                <w:szCs w:val="16"/>
              </w:rPr>
              <w:t>(3)</w:t>
            </w:r>
          </w:p>
        </w:tc>
        <w:tc>
          <w:tcPr>
            <w:tcW w:w="779" w:type="dxa"/>
            <w:tcBorders>
              <w:top w:val="single" w:sz="4" w:space="0" w:color="auto"/>
              <w:left w:val="nil"/>
              <w:bottom w:val="nil"/>
              <w:right w:val="nil"/>
            </w:tcBorders>
            <w:vAlign w:val="center"/>
          </w:tcPr>
          <w:p w:rsidR="00821BD4" w:rsidRPr="00056731" w:rsidRDefault="00821BD4" w:rsidP="00056731">
            <w:pPr>
              <w:widowControl w:val="0"/>
              <w:autoSpaceDE w:val="0"/>
              <w:autoSpaceDN w:val="0"/>
              <w:adjustRightInd w:val="0"/>
              <w:jc w:val="center"/>
              <w:rPr>
                <w:rFonts w:ascii="Times New Roman" w:hAnsi="Times New Roman" w:cs="Times New Roman"/>
                <w:sz w:val="16"/>
                <w:szCs w:val="16"/>
              </w:rPr>
            </w:pPr>
            <w:r w:rsidRPr="00056731">
              <w:rPr>
                <w:rFonts w:ascii="Times New Roman" w:hAnsi="Times New Roman" w:cs="Times New Roman"/>
                <w:sz w:val="16"/>
                <w:szCs w:val="16"/>
              </w:rPr>
              <w:t>(4)</w:t>
            </w:r>
          </w:p>
        </w:tc>
        <w:tc>
          <w:tcPr>
            <w:tcW w:w="874" w:type="dxa"/>
            <w:tcBorders>
              <w:top w:val="single" w:sz="4" w:space="0" w:color="auto"/>
              <w:left w:val="nil"/>
              <w:bottom w:val="nil"/>
              <w:right w:val="nil"/>
            </w:tcBorders>
            <w:vAlign w:val="center"/>
          </w:tcPr>
          <w:p w:rsidR="00821BD4" w:rsidRPr="00056731" w:rsidRDefault="00821BD4" w:rsidP="00056731">
            <w:pPr>
              <w:widowControl w:val="0"/>
              <w:autoSpaceDE w:val="0"/>
              <w:autoSpaceDN w:val="0"/>
              <w:adjustRightInd w:val="0"/>
              <w:jc w:val="center"/>
              <w:rPr>
                <w:rFonts w:ascii="Times New Roman" w:hAnsi="Times New Roman" w:cs="Times New Roman"/>
                <w:sz w:val="16"/>
                <w:szCs w:val="16"/>
              </w:rPr>
            </w:pPr>
            <w:r w:rsidRPr="00056731">
              <w:rPr>
                <w:rFonts w:ascii="Times New Roman" w:hAnsi="Times New Roman" w:cs="Times New Roman"/>
                <w:sz w:val="16"/>
                <w:szCs w:val="16"/>
              </w:rPr>
              <w:t>(5)</w:t>
            </w:r>
          </w:p>
        </w:tc>
        <w:tc>
          <w:tcPr>
            <w:tcW w:w="1230" w:type="dxa"/>
            <w:tcBorders>
              <w:top w:val="single" w:sz="4" w:space="0" w:color="auto"/>
              <w:left w:val="nil"/>
              <w:bottom w:val="nil"/>
              <w:right w:val="nil"/>
            </w:tcBorders>
            <w:vAlign w:val="center"/>
          </w:tcPr>
          <w:p w:rsidR="00821BD4" w:rsidRPr="00056731" w:rsidRDefault="00821BD4" w:rsidP="00056731">
            <w:pPr>
              <w:widowControl w:val="0"/>
              <w:autoSpaceDE w:val="0"/>
              <w:autoSpaceDN w:val="0"/>
              <w:adjustRightInd w:val="0"/>
              <w:jc w:val="center"/>
              <w:rPr>
                <w:rFonts w:ascii="Times New Roman" w:hAnsi="Times New Roman" w:cs="Times New Roman"/>
                <w:sz w:val="16"/>
                <w:szCs w:val="16"/>
              </w:rPr>
            </w:pPr>
            <w:r w:rsidRPr="00056731">
              <w:rPr>
                <w:rFonts w:ascii="Times New Roman" w:hAnsi="Times New Roman" w:cs="Times New Roman"/>
                <w:sz w:val="16"/>
                <w:szCs w:val="16"/>
              </w:rPr>
              <w:t>(6)</w:t>
            </w:r>
          </w:p>
        </w:tc>
        <w:tc>
          <w:tcPr>
            <w:tcW w:w="840" w:type="dxa"/>
            <w:tcBorders>
              <w:top w:val="single" w:sz="4" w:space="0" w:color="auto"/>
              <w:left w:val="nil"/>
              <w:bottom w:val="nil"/>
              <w:right w:val="nil"/>
            </w:tcBorders>
            <w:noWrap/>
            <w:vAlign w:val="center"/>
          </w:tcPr>
          <w:p w:rsidR="00821BD4" w:rsidRPr="00056731" w:rsidRDefault="00821BD4" w:rsidP="00056731">
            <w:pPr>
              <w:widowControl w:val="0"/>
              <w:autoSpaceDE w:val="0"/>
              <w:autoSpaceDN w:val="0"/>
              <w:adjustRightInd w:val="0"/>
              <w:jc w:val="center"/>
              <w:rPr>
                <w:rFonts w:ascii="Times New Roman" w:hAnsi="Times New Roman" w:cs="Times New Roman"/>
                <w:sz w:val="16"/>
                <w:szCs w:val="16"/>
              </w:rPr>
            </w:pPr>
            <w:r w:rsidRPr="00056731">
              <w:rPr>
                <w:rFonts w:ascii="Times New Roman" w:hAnsi="Times New Roman" w:cs="Times New Roman"/>
                <w:sz w:val="16"/>
                <w:szCs w:val="16"/>
              </w:rPr>
              <w:t>(7)</w:t>
            </w:r>
          </w:p>
        </w:tc>
        <w:tc>
          <w:tcPr>
            <w:tcW w:w="810" w:type="dxa"/>
            <w:tcBorders>
              <w:top w:val="single" w:sz="4" w:space="0" w:color="auto"/>
              <w:left w:val="nil"/>
              <w:bottom w:val="nil"/>
              <w:right w:val="nil"/>
            </w:tcBorders>
            <w:noWrap/>
            <w:vAlign w:val="center"/>
          </w:tcPr>
          <w:p w:rsidR="00821BD4" w:rsidRPr="00056731" w:rsidRDefault="00821BD4" w:rsidP="00056731">
            <w:pPr>
              <w:widowControl w:val="0"/>
              <w:autoSpaceDE w:val="0"/>
              <w:autoSpaceDN w:val="0"/>
              <w:adjustRightInd w:val="0"/>
              <w:jc w:val="center"/>
              <w:rPr>
                <w:rFonts w:ascii="Times New Roman" w:hAnsi="Times New Roman" w:cs="Times New Roman"/>
                <w:sz w:val="16"/>
                <w:szCs w:val="16"/>
              </w:rPr>
            </w:pPr>
            <w:r w:rsidRPr="00056731">
              <w:rPr>
                <w:rFonts w:ascii="Times New Roman" w:hAnsi="Times New Roman" w:cs="Times New Roman"/>
                <w:sz w:val="16"/>
                <w:szCs w:val="16"/>
              </w:rPr>
              <w:t>(8)</w:t>
            </w:r>
          </w:p>
        </w:tc>
      </w:tr>
      <w:tr w:rsidR="00821BD4" w:rsidRPr="00056731" w:rsidTr="002C75DB">
        <w:trPr>
          <w:trHeight w:val="300"/>
        </w:trPr>
        <w:tc>
          <w:tcPr>
            <w:tcW w:w="864" w:type="dxa"/>
            <w:tcBorders>
              <w:top w:val="nil"/>
              <w:left w:val="nil"/>
              <w:bottom w:val="single" w:sz="4" w:space="0" w:color="auto"/>
              <w:right w:val="nil"/>
            </w:tcBorders>
            <w:noWrap/>
            <w:vAlign w:val="center"/>
            <w:hideMark/>
          </w:tcPr>
          <w:p w:rsidR="00821BD4" w:rsidRPr="00056731" w:rsidRDefault="00821BD4" w:rsidP="00056731">
            <w:pPr>
              <w:jc w:val="center"/>
              <w:rPr>
                <w:rFonts w:ascii="Times New Roman" w:hAnsi="Times New Roman" w:cs="Times New Roman"/>
                <w:sz w:val="16"/>
                <w:szCs w:val="16"/>
              </w:rPr>
            </w:pPr>
          </w:p>
        </w:tc>
        <w:tc>
          <w:tcPr>
            <w:tcW w:w="1114" w:type="dxa"/>
            <w:tcBorders>
              <w:top w:val="nil"/>
              <w:left w:val="nil"/>
              <w:bottom w:val="single" w:sz="4" w:space="0" w:color="auto"/>
              <w:right w:val="nil"/>
            </w:tcBorders>
            <w:noWrap/>
            <w:vAlign w:val="center"/>
            <w:hideMark/>
          </w:tcPr>
          <w:p w:rsidR="00821BD4" w:rsidRPr="00056731" w:rsidRDefault="00572912" w:rsidP="00056731">
            <w:pPr>
              <w:jc w:val="center"/>
              <w:rPr>
                <w:rFonts w:ascii="Times New Roman" w:hAnsi="Times New Roman" w:cs="Times New Roman"/>
                <w:sz w:val="16"/>
                <w:szCs w:val="16"/>
              </w:rPr>
            </w:pPr>
            <w:r w:rsidRPr="00526653">
              <w:rPr>
                <w:rFonts w:ascii="Times New Roman" w:hAnsi="Times New Roman" w:cs="Times New Roman"/>
                <w:sz w:val="18"/>
                <w:szCs w:val="18"/>
              </w:rPr>
              <w:t>V</w:t>
            </w:r>
            <w:r>
              <w:rPr>
                <w:rFonts w:ascii="Times New Roman" w:hAnsi="Times New Roman" w:cs="Times New Roman"/>
                <w:sz w:val="18"/>
                <w:szCs w:val="18"/>
              </w:rPr>
              <w:t>ariables</w:t>
            </w:r>
          </w:p>
        </w:tc>
        <w:tc>
          <w:tcPr>
            <w:tcW w:w="779" w:type="dxa"/>
            <w:tcBorders>
              <w:top w:val="nil"/>
              <w:left w:val="nil"/>
              <w:bottom w:val="single" w:sz="4" w:space="0" w:color="auto"/>
              <w:right w:val="nil"/>
            </w:tcBorders>
            <w:vAlign w:val="center"/>
          </w:tcPr>
          <w:p w:rsidR="00821BD4" w:rsidRPr="00056731" w:rsidRDefault="00821BD4" w:rsidP="00056731">
            <w:pPr>
              <w:jc w:val="center"/>
              <w:rPr>
                <w:rFonts w:ascii="Times New Roman" w:hAnsi="Times New Roman" w:cs="Times New Roman"/>
                <w:sz w:val="16"/>
                <w:szCs w:val="16"/>
              </w:rPr>
            </w:pPr>
            <w:r w:rsidRPr="00056731">
              <w:rPr>
                <w:rFonts w:ascii="Times New Roman" w:hAnsi="Times New Roman" w:cs="Times New Roman"/>
                <w:sz w:val="16"/>
                <w:szCs w:val="16"/>
              </w:rPr>
              <w:t>CapEx</w:t>
            </w:r>
          </w:p>
        </w:tc>
        <w:tc>
          <w:tcPr>
            <w:tcW w:w="1008" w:type="dxa"/>
            <w:tcBorders>
              <w:top w:val="nil"/>
              <w:left w:val="nil"/>
              <w:bottom w:val="single" w:sz="4" w:space="0" w:color="auto"/>
              <w:right w:val="nil"/>
            </w:tcBorders>
            <w:vAlign w:val="center"/>
          </w:tcPr>
          <w:p w:rsidR="00821BD4" w:rsidRPr="00056731" w:rsidRDefault="00821BD4" w:rsidP="00056731">
            <w:pPr>
              <w:jc w:val="center"/>
              <w:rPr>
                <w:rFonts w:ascii="Times New Roman" w:hAnsi="Times New Roman" w:cs="Times New Roman"/>
                <w:sz w:val="16"/>
                <w:szCs w:val="16"/>
              </w:rPr>
            </w:pPr>
            <w:r w:rsidRPr="00056731">
              <w:rPr>
                <w:rFonts w:ascii="Times New Roman" w:hAnsi="Times New Roman" w:cs="Times New Roman"/>
                <w:sz w:val="16"/>
                <w:szCs w:val="16"/>
              </w:rPr>
              <w:t>CapEx_PPE</w:t>
            </w:r>
          </w:p>
        </w:tc>
        <w:tc>
          <w:tcPr>
            <w:tcW w:w="779" w:type="dxa"/>
            <w:tcBorders>
              <w:top w:val="nil"/>
              <w:left w:val="nil"/>
              <w:bottom w:val="single" w:sz="4" w:space="0" w:color="auto"/>
              <w:right w:val="nil"/>
            </w:tcBorders>
            <w:vAlign w:val="center"/>
          </w:tcPr>
          <w:p w:rsidR="00821BD4" w:rsidRPr="00056731" w:rsidRDefault="00821BD4" w:rsidP="00056731">
            <w:pPr>
              <w:jc w:val="center"/>
              <w:rPr>
                <w:rFonts w:ascii="Times New Roman" w:hAnsi="Times New Roman" w:cs="Times New Roman"/>
                <w:sz w:val="16"/>
                <w:szCs w:val="16"/>
              </w:rPr>
            </w:pPr>
            <w:r w:rsidRPr="00056731">
              <w:rPr>
                <w:rFonts w:ascii="Times New Roman" w:hAnsi="Times New Roman" w:cs="Times New Roman"/>
                <w:sz w:val="16"/>
                <w:szCs w:val="16"/>
              </w:rPr>
              <w:t>C</w:t>
            </w:r>
            <w:r w:rsidR="005B77BC" w:rsidRPr="00056731">
              <w:rPr>
                <w:rFonts w:ascii="Times New Roman" w:hAnsi="Times New Roman" w:cs="Times New Roman"/>
                <w:sz w:val="16"/>
                <w:szCs w:val="16"/>
              </w:rPr>
              <w:t xml:space="preserve">ash </w:t>
            </w:r>
            <w:r w:rsidRPr="00056731">
              <w:rPr>
                <w:rFonts w:ascii="Times New Roman" w:hAnsi="Times New Roman" w:cs="Times New Roman"/>
                <w:sz w:val="16"/>
                <w:szCs w:val="16"/>
              </w:rPr>
              <w:t>F</w:t>
            </w:r>
            <w:r w:rsidR="005B77BC" w:rsidRPr="00056731">
              <w:rPr>
                <w:rFonts w:ascii="Times New Roman" w:hAnsi="Times New Roman" w:cs="Times New Roman"/>
                <w:sz w:val="16"/>
                <w:szCs w:val="16"/>
              </w:rPr>
              <w:t>low</w:t>
            </w:r>
          </w:p>
        </w:tc>
        <w:tc>
          <w:tcPr>
            <w:tcW w:w="779" w:type="dxa"/>
            <w:tcBorders>
              <w:top w:val="nil"/>
              <w:left w:val="nil"/>
              <w:bottom w:val="single" w:sz="4" w:space="0" w:color="auto"/>
              <w:right w:val="nil"/>
            </w:tcBorders>
            <w:vAlign w:val="center"/>
          </w:tcPr>
          <w:p w:rsidR="00821BD4" w:rsidRPr="00056731" w:rsidRDefault="005B77BC" w:rsidP="00056731">
            <w:pPr>
              <w:jc w:val="center"/>
              <w:rPr>
                <w:rFonts w:ascii="Times New Roman" w:hAnsi="Times New Roman" w:cs="Times New Roman"/>
                <w:sz w:val="16"/>
                <w:szCs w:val="16"/>
              </w:rPr>
            </w:pPr>
            <w:r w:rsidRPr="00056731">
              <w:rPr>
                <w:rFonts w:ascii="Times New Roman" w:hAnsi="Times New Roman" w:cs="Times New Roman"/>
                <w:sz w:val="16"/>
                <w:szCs w:val="16"/>
              </w:rPr>
              <w:t xml:space="preserve">Tobin’s </w:t>
            </w:r>
            <w:r w:rsidR="006E7689" w:rsidRPr="00056731">
              <w:rPr>
                <w:rFonts w:ascii="Times New Roman" w:hAnsi="Times New Roman" w:cs="Times New Roman"/>
                <w:sz w:val="16"/>
                <w:szCs w:val="16"/>
              </w:rPr>
              <w:t>q</w:t>
            </w:r>
          </w:p>
        </w:tc>
        <w:tc>
          <w:tcPr>
            <w:tcW w:w="874" w:type="dxa"/>
            <w:tcBorders>
              <w:top w:val="nil"/>
              <w:left w:val="nil"/>
              <w:bottom w:val="single" w:sz="4" w:space="0" w:color="auto"/>
              <w:right w:val="nil"/>
            </w:tcBorders>
            <w:vAlign w:val="center"/>
          </w:tcPr>
          <w:p w:rsidR="00821BD4" w:rsidRPr="00056731" w:rsidRDefault="0053468B" w:rsidP="00056731">
            <w:pPr>
              <w:jc w:val="center"/>
              <w:rPr>
                <w:rFonts w:ascii="Times New Roman" w:hAnsi="Times New Roman" w:cs="Times New Roman"/>
                <w:sz w:val="16"/>
                <w:szCs w:val="16"/>
              </w:rPr>
            </w:pPr>
            <w:r>
              <w:rPr>
                <w:rFonts w:ascii="Times New Roman" w:hAnsi="Times New Roman" w:cs="Times New Roman"/>
                <w:sz w:val="16"/>
                <w:szCs w:val="16"/>
              </w:rPr>
              <w:t>Sales Growth</w:t>
            </w:r>
          </w:p>
        </w:tc>
        <w:tc>
          <w:tcPr>
            <w:tcW w:w="1230" w:type="dxa"/>
            <w:tcBorders>
              <w:top w:val="nil"/>
              <w:left w:val="nil"/>
              <w:bottom w:val="single" w:sz="4" w:space="0" w:color="auto"/>
              <w:right w:val="nil"/>
            </w:tcBorders>
            <w:vAlign w:val="center"/>
          </w:tcPr>
          <w:p w:rsidR="00821BD4" w:rsidRPr="00056731" w:rsidRDefault="005B77BC" w:rsidP="00056731">
            <w:pPr>
              <w:jc w:val="center"/>
              <w:rPr>
                <w:rFonts w:ascii="Times New Roman" w:hAnsi="Times New Roman" w:cs="Times New Roman"/>
                <w:sz w:val="16"/>
                <w:szCs w:val="16"/>
              </w:rPr>
            </w:pPr>
            <w:r w:rsidRPr="00056731">
              <w:rPr>
                <w:rFonts w:ascii="Times New Roman" w:hAnsi="Times New Roman" w:cs="Times New Roman"/>
                <w:sz w:val="16"/>
                <w:szCs w:val="16"/>
              </w:rPr>
              <w:t>Change in Cash Holdings</w:t>
            </w:r>
          </w:p>
        </w:tc>
        <w:tc>
          <w:tcPr>
            <w:tcW w:w="840" w:type="dxa"/>
            <w:tcBorders>
              <w:top w:val="nil"/>
              <w:left w:val="nil"/>
              <w:bottom w:val="single" w:sz="4" w:space="0" w:color="auto"/>
              <w:right w:val="nil"/>
            </w:tcBorders>
            <w:noWrap/>
            <w:vAlign w:val="center"/>
            <w:hideMark/>
          </w:tcPr>
          <w:p w:rsidR="00821BD4" w:rsidRPr="00056731" w:rsidRDefault="005B77BC" w:rsidP="00056731">
            <w:pPr>
              <w:jc w:val="center"/>
              <w:rPr>
                <w:rFonts w:ascii="Times New Roman" w:hAnsi="Times New Roman" w:cs="Times New Roman"/>
                <w:sz w:val="16"/>
                <w:szCs w:val="16"/>
              </w:rPr>
            </w:pPr>
            <w:r w:rsidRPr="00056731">
              <w:rPr>
                <w:rFonts w:ascii="Times New Roman" w:hAnsi="Times New Roman" w:cs="Times New Roman"/>
                <w:sz w:val="16"/>
                <w:szCs w:val="16"/>
              </w:rPr>
              <w:t>Leverage</w:t>
            </w:r>
          </w:p>
        </w:tc>
        <w:tc>
          <w:tcPr>
            <w:tcW w:w="810" w:type="dxa"/>
            <w:tcBorders>
              <w:top w:val="nil"/>
              <w:left w:val="nil"/>
              <w:bottom w:val="single" w:sz="4" w:space="0" w:color="auto"/>
              <w:right w:val="nil"/>
            </w:tcBorders>
            <w:noWrap/>
            <w:vAlign w:val="center"/>
            <w:hideMark/>
          </w:tcPr>
          <w:p w:rsidR="00821BD4" w:rsidRPr="00056731" w:rsidRDefault="00821BD4" w:rsidP="00056731">
            <w:pPr>
              <w:jc w:val="center"/>
              <w:rPr>
                <w:rFonts w:ascii="Times New Roman" w:hAnsi="Times New Roman" w:cs="Times New Roman"/>
                <w:sz w:val="16"/>
                <w:szCs w:val="16"/>
              </w:rPr>
            </w:pPr>
            <w:r w:rsidRPr="00056731">
              <w:rPr>
                <w:rFonts w:ascii="Times New Roman" w:hAnsi="Times New Roman" w:cs="Times New Roman"/>
                <w:sz w:val="16"/>
                <w:szCs w:val="16"/>
              </w:rPr>
              <w:t>CapEx, Non-US</w:t>
            </w:r>
          </w:p>
        </w:tc>
      </w:tr>
      <w:tr w:rsidR="002C75DB" w:rsidRPr="00056731" w:rsidTr="002C75DB">
        <w:trPr>
          <w:trHeight w:val="300"/>
        </w:trPr>
        <w:tc>
          <w:tcPr>
            <w:tcW w:w="864" w:type="dxa"/>
            <w:tcBorders>
              <w:top w:val="single" w:sz="4" w:space="0" w:color="auto"/>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r w:rsidRPr="00056731">
              <w:rPr>
                <w:rFonts w:ascii="Times New Roman" w:hAnsi="Times New Roman" w:cs="Times New Roman"/>
                <w:sz w:val="16"/>
                <w:szCs w:val="16"/>
              </w:rPr>
              <w:t>Fiscal Q1</w:t>
            </w:r>
          </w:p>
        </w:tc>
        <w:tc>
          <w:tcPr>
            <w:tcW w:w="1114" w:type="dxa"/>
            <w:tcBorders>
              <w:top w:val="single" w:sz="4" w:space="0" w:color="auto"/>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r w:rsidRPr="00056731">
              <w:rPr>
                <w:rFonts w:ascii="Times New Roman" w:hAnsi="Times New Roman" w:cs="Times New Roman"/>
                <w:sz w:val="16"/>
                <w:szCs w:val="16"/>
              </w:rPr>
              <w:t>N</w:t>
            </w:r>
          </w:p>
        </w:tc>
        <w:tc>
          <w:tcPr>
            <w:tcW w:w="779" w:type="dxa"/>
            <w:tcBorders>
              <w:top w:val="single" w:sz="4" w:space="0" w:color="auto"/>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58,048</w:t>
            </w:r>
          </w:p>
        </w:tc>
        <w:tc>
          <w:tcPr>
            <w:tcW w:w="1008" w:type="dxa"/>
            <w:tcBorders>
              <w:top w:val="single" w:sz="4" w:space="0" w:color="auto"/>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58,016</w:t>
            </w:r>
          </w:p>
        </w:tc>
        <w:tc>
          <w:tcPr>
            <w:tcW w:w="779" w:type="dxa"/>
            <w:tcBorders>
              <w:top w:val="single" w:sz="4" w:space="0" w:color="auto"/>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58,048</w:t>
            </w:r>
          </w:p>
        </w:tc>
        <w:tc>
          <w:tcPr>
            <w:tcW w:w="779" w:type="dxa"/>
            <w:tcBorders>
              <w:top w:val="single" w:sz="4" w:space="0" w:color="auto"/>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58,048</w:t>
            </w:r>
          </w:p>
        </w:tc>
        <w:tc>
          <w:tcPr>
            <w:tcW w:w="874" w:type="dxa"/>
            <w:tcBorders>
              <w:top w:val="single" w:sz="4" w:space="0" w:color="auto"/>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56,016</w:t>
            </w:r>
          </w:p>
        </w:tc>
        <w:tc>
          <w:tcPr>
            <w:tcW w:w="1230" w:type="dxa"/>
            <w:tcBorders>
              <w:top w:val="single" w:sz="4" w:space="0" w:color="auto"/>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57,777</w:t>
            </w:r>
          </w:p>
        </w:tc>
        <w:tc>
          <w:tcPr>
            <w:tcW w:w="840" w:type="dxa"/>
            <w:tcBorders>
              <w:top w:val="single" w:sz="4" w:space="0" w:color="auto"/>
              <w:left w:val="nil"/>
              <w:bottom w:val="nil"/>
              <w:right w:val="nil"/>
            </w:tcBorders>
            <w:noWrap/>
            <w:vAlign w:val="center"/>
            <w:hideMark/>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54,057</w:t>
            </w:r>
          </w:p>
        </w:tc>
        <w:tc>
          <w:tcPr>
            <w:tcW w:w="810" w:type="dxa"/>
            <w:tcBorders>
              <w:top w:val="single" w:sz="4" w:space="0" w:color="auto"/>
              <w:left w:val="nil"/>
              <w:bottom w:val="nil"/>
              <w:right w:val="nil"/>
            </w:tcBorders>
            <w:noWrap/>
            <w:vAlign w:val="center"/>
            <w:hideMark/>
          </w:tcPr>
          <w:p w:rsidR="002C75DB" w:rsidRPr="002C75DB" w:rsidRDefault="002C75DB" w:rsidP="002C75DB">
            <w:pPr>
              <w:contextualSpacing/>
              <w:jc w:val="center"/>
              <w:rPr>
                <w:rFonts w:ascii="Times New Roman" w:hAnsi="Times New Roman" w:cs="Times New Roman"/>
                <w:sz w:val="16"/>
                <w:szCs w:val="16"/>
              </w:rPr>
            </w:pPr>
            <w:r w:rsidRPr="002C75DB">
              <w:rPr>
                <w:rFonts w:ascii="Times New Roman" w:hAnsi="Times New Roman" w:cs="Times New Roman"/>
                <w:sz w:val="16"/>
                <w:szCs w:val="16"/>
              </w:rPr>
              <w:t>35,637</w:t>
            </w:r>
          </w:p>
        </w:tc>
      </w:tr>
      <w:tr w:rsidR="002C75DB" w:rsidRPr="00056731" w:rsidTr="002C75DB">
        <w:trPr>
          <w:trHeight w:val="300"/>
        </w:trPr>
        <w:tc>
          <w:tcPr>
            <w:tcW w:w="86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p>
        </w:tc>
        <w:tc>
          <w:tcPr>
            <w:tcW w:w="111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r w:rsidRPr="00056731">
              <w:rPr>
                <w:rFonts w:ascii="Times New Roman" w:hAnsi="Times New Roman" w:cs="Times New Roman"/>
                <w:sz w:val="16"/>
                <w:szCs w:val="16"/>
              </w:rPr>
              <w:t>Mean</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1.241</w:t>
            </w:r>
          </w:p>
        </w:tc>
        <w:tc>
          <w:tcPr>
            <w:tcW w:w="1008"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6.542</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0.0161</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1.738</w:t>
            </w:r>
          </w:p>
        </w:tc>
        <w:tc>
          <w:tcPr>
            <w:tcW w:w="874"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-0.00955</w:t>
            </w:r>
          </w:p>
        </w:tc>
        <w:tc>
          <w:tcPr>
            <w:tcW w:w="1230" w:type="dxa"/>
            <w:tcBorders>
              <w:top w:val="nil"/>
              <w:left w:val="nil"/>
              <w:bottom w:val="nil"/>
              <w:right w:val="nil"/>
            </w:tcBorders>
            <w:vAlign w:val="center"/>
          </w:tcPr>
          <w:p w:rsidR="002C75DB" w:rsidRPr="0053468B" w:rsidRDefault="002C75DB" w:rsidP="00287F07">
            <w:pPr>
              <w:contextualSpacing/>
              <w:jc w:val="center"/>
              <w:rPr>
                <w:rFonts w:ascii="Times New Roman" w:hAnsi="Times New Roman" w:cs="Times New Roman"/>
                <w:sz w:val="16"/>
                <w:szCs w:val="16"/>
              </w:rPr>
            </w:pPr>
            <w:r w:rsidRPr="0053468B">
              <w:rPr>
                <w:rFonts w:ascii="Times New Roman" w:hAnsi="Times New Roman" w:cs="Times New Roman"/>
                <w:sz w:val="16"/>
                <w:szCs w:val="16"/>
              </w:rPr>
              <w:t>-0.0066</w:t>
            </w:r>
          </w:p>
        </w:tc>
        <w:tc>
          <w:tcPr>
            <w:tcW w:w="840" w:type="dxa"/>
            <w:tcBorders>
              <w:top w:val="nil"/>
              <w:left w:val="nil"/>
              <w:bottom w:val="nil"/>
              <w:right w:val="nil"/>
            </w:tcBorders>
            <w:noWrap/>
            <w:vAlign w:val="center"/>
            <w:hideMark/>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0.201</w:t>
            </w:r>
          </w:p>
        </w:tc>
        <w:tc>
          <w:tcPr>
            <w:tcW w:w="810" w:type="dxa"/>
            <w:tcBorders>
              <w:top w:val="nil"/>
              <w:left w:val="nil"/>
              <w:bottom w:val="nil"/>
              <w:right w:val="nil"/>
            </w:tcBorders>
            <w:noWrap/>
            <w:vAlign w:val="center"/>
            <w:hideMark/>
          </w:tcPr>
          <w:p w:rsidR="002C75DB" w:rsidRPr="002C75DB" w:rsidRDefault="002C75DB" w:rsidP="002C75DB">
            <w:pPr>
              <w:contextualSpacing/>
              <w:jc w:val="center"/>
              <w:rPr>
                <w:rFonts w:ascii="Times New Roman" w:hAnsi="Times New Roman" w:cs="Times New Roman"/>
                <w:sz w:val="16"/>
                <w:szCs w:val="16"/>
              </w:rPr>
            </w:pPr>
            <w:r w:rsidRPr="002C75DB">
              <w:rPr>
                <w:rFonts w:ascii="Times New Roman" w:hAnsi="Times New Roman" w:cs="Times New Roman"/>
                <w:sz w:val="16"/>
                <w:szCs w:val="16"/>
              </w:rPr>
              <w:t>1.327</w:t>
            </w:r>
          </w:p>
        </w:tc>
      </w:tr>
      <w:tr w:rsidR="002C75DB" w:rsidRPr="00056731" w:rsidTr="002C75DB">
        <w:trPr>
          <w:trHeight w:val="300"/>
        </w:trPr>
        <w:tc>
          <w:tcPr>
            <w:tcW w:w="86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p>
        </w:tc>
        <w:tc>
          <w:tcPr>
            <w:tcW w:w="111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r w:rsidRPr="00056731">
              <w:rPr>
                <w:rFonts w:ascii="Times New Roman" w:hAnsi="Times New Roman" w:cs="Times New Roman"/>
                <w:sz w:val="16"/>
                <w:szCs w:val="16"/>
              </w:rPr>
              <w:t>Median</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0.726</w:t>
            </w:r>
          </w:p>
        </w:tc>
        <w:tc>
          <w:tcPr>
            <w:tcW w:w="1008"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4.124</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0.0193</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1.354</w:t>
            </w:r>
          </w:p>
        </w:tc>
        <w:tc>
          <w:tcPr>
            <w:tcW w:w="874"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-0.018</w:t>
            </w:r>
          </w:p>
        </w:tc>
        <w:tc>
          <w:tcPr>
            <w:tcW w:w="1230" w:type="dxa"/>
            <w:tcBorders>
              <w:top w:val="nil"/>
              <w:left w:val="nil"/>
              <w:bottom w:val="nil"/>
              <w:right w:val="nil"/>
            </w:tcBorders>
            <w:vAlign w:val="center"/>
          </w:tcPr>
          <w:p w:rsidR="002C75DB" w:rsidRPr="0053468B" w:rsidRDefault="002C75DB" w:rsidP="00287F07">
            <w:pPr>
              <w:contextualSpacing/>
              <w:jc w:val="center"/>
              <w:rPr>
                <w:rFonts w:ascii="Times New Roman" w:hAnsi="Times New Roman" w:cs="Times New Roman"/>
                <w:sz w:val="16"/>
                <w:szCs w:val="16"/>
              </w:rPr>
            </w:pPr>
            <w:r w:rsidRPr="0053468B">
              <w:rPr>
                <w:rFonts w:ascii="Times New Roman" w:hAnsi="Times New Roman" w:cs="Times New Roman"/>
                <w:sz w:val="16"/>
                <w:szCs w:val="16"/>
              </w:rPr>
              <w:t>-0.0032</w:t>
            </w:r>
          </w:p>
        </w:tc>
        <w:tc>
          <w:tcPr>
            <w:tcW w:w="840" w:type="dxa"/>
            <w:tcBorders>
              <w:top w:val="nil"/>
              <w:left w:val="nil"/>
              <w:bottom w:val="nil"/>
              <w:right w:val="nil"/>
            </w:tcBorders>
            <w:noWrap/>
            <w:vAlign w:val="center"/>
            <w:hideMark/>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0.18</w:t>
            </w:r>
          </w:p>
        </w:tc>
        <w:tc>
          <w:tcPr>
            <w:tcW w:w="810" w:type="dxa"/>
            <w:tcBorders>
              <w:top w:val="nil"/>
              <w:left w:val="nil"/>
              <w:bottom w:val="nil"/>
              <w:right w:val="nil"/>
            </w:tcBorders>
            <w:noWrap/>
            <w:vAlign w:val="center"/>
            <w:hideMark/>
          </w:tcPr>
          <w:p w:rsidR="002C75DB" w:rsidRPr="002C75DB" w:rsidRDefault="002C75DB" w:rsidP="002C75DB">
            <w:pPr>
              <w:contextualSpacing/>
              <w:jc w:val="center"/>
              <w:rPr>
                <w:rFonts w:ascii="Times New Roman" w:hAnsi="Times New Roman" w:cs="Times New Roman"/>
                <w:sz w:val="16"/>
                <w:szCs w:val="16"/>
              </w:rPr>
            </w:pPr>
            <w:r w:rsidRPr="002C75DB">
              <w:rPr>
                <w:rFonts w:ascii="Times New Roman" w:hAnsi="Times New Roman" w:cs="Times New Roman"/>
                <w:sz w:val="16"/>
                <w:szCs w:val="16"/>
              </w:rPr>
              <w:t>0.776</w:t>
            </w:r>
          </w:p>
        </w:tc>
      </w:tr>
      <w:tr w:rsidR="002C75DB" w:rsidRPr="00056731" w:rsidTr="002C75DB">
        <w:trPr>
          <w:trHeight w:val="300"/>
        </w:trPr>
        <w:tc>
          <w:tcPr>
            <w:tcW w:w="86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r w:rsidRPr="00056731">
              <w:rPr>
                <w:rFonts w:ascii="Times New Roman" w:hAnsi="Times New Roman" w:cs="Times New Roman"/>
                <w:sz w:val="16"/>
                <w:szCs w:val="16"/>
              </w:rPr>
              <w:t>Fiscal Q2</w:t>
            </w:r>
          </w:p>
        </w:tc>
        <w:tc>
          <w:tcPr>
            <w:tcW w:w="111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r w:rsidRPr="00056731">
              <w:rPr>
                <w:rFonts w:ascii="Times New Roman" w:hAnsi="Times New Roman" w:cs="Times New Roman"/>
                <w:sz w:val="16"/>
                <w:szCs w:val="16"/>
              </w:rPr>
              <w:t>N</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58,048</w:t>
            </w:r>
          </w:p>
        </w:tc>
        <w:tc>
          <w:tcPr>
            <w:tcW w:w="1008"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57,896</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58,048</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58,048</w:t>
            </w:r>
          </w:p>
        </w:tc>
        <w:tc>
          <w:tcPr>
            <w:tcW w:w="874"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56,843</w:t>
            </w:r>
          </w:p>
        </w:tc>
        <w:tc>
          <w:tcPr>
            <w:tcW w:w="1230"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57,801</w:t>
            </w:r>
          </w:p>
        </w:tc>
        <w:tc>
          <w:tcPr>
            <w:tcW w:w="840" w:type="dxa"/>
            <w:tcBorders>
              <w:top w:val="nil"/>
              <w:left w:val="nil"/>
              <w:bottom w:val="nil"/>
              <w:right w:val="nil"/>
            </w:tcBorders>
            <w:noWrap/>
            <w:vAlign w:val="center"/>
            <w:hideMark/>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54,131</w:t>
            </w:r>
          </w:p>
        </w:tc>
        <w:tc>
          <w:tcPr>
            <w:tcW w:w="810" w:type="dxa"/>
            <w:tcBorders>
              <w:top w:val="nil"/>
              <w:left w:val="nil"/>
              <w:bottom w:val="nil"/>
              <w:right w:val="nil"/>
            </w:tcBorders>
            <w:noWrap/>
            <w:vAlign w:val="center"/>
            <w:hideMark/>
          </w:tcPr>
          <w:p w:rsidR="002C75DB" w:rsidRPr="002C75DB" w:rsidRDefault="002C75DB" w:rsidP="002C75DB">
            <w:pPr>
              <w:contextualSpacing/>
              <w:jc w:val="center"/>
              <w:rPr>
                <w:rFonts w:ascii="Times New Roman" w:hAnsi="Times New Roman" w:cs="Times New Roman"/>
                <w:sz w:val="16"/>
                <w:szCs w:val="16"/>
              </w:rPr>
            </w:pPr>
            <w:r w:rsidRPr="002C75DB">
              <w:rPr>
                <w:rFonts w:ascii="Times New Roman" w:hAnsi="Times New Roman" w:cs="Times New Roman"/>
                <w:sz w:val="16"/>
                <w:szCs w:val="16"/>
              </w:rPr>
              <w:t>35,637</w:t>
            </w:r>
          </w:p>
        </w:tc>
      </w:tr>
      <w:tr w:rsidR="002C75DB" w:rsidRPr="00056731" w:rsidTr="002C75DB">
        <w:trPr>
          <w:trHeight w:val="300"/>
        </w:trPr>
        <w:tc>
          <w:tcPr>
            <w:tcW w:w="86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p>
        </w:tc>
        <w:tc>
          <w:tcPr>
            <w:tcW w:w="111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r w:rsidRPr="00056731">
              <w:rPr>
                <w:rFonts w:ascii="Times New Roman" w:hAnsi="Times New Roman" w:cs="Times New Roman"/>
                <w:sz w:val="16"/>
                <w:szCs w:val="16"/>
              </w:rPr>
              <w:t>Mean</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1.309</w:t>
            </w:r>
          </w:p>
        </w:tc>
        <w:tc>
          <w:tcPr>
            <w:tcW w:w="1008"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6.75</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0.0173</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1.774</w:t>
            </w:r>
          </w:p>
        </w:tc>
        <w:tc>
          <w:tcPr>
            <w:tcW w:w="874"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0.0721</w:t>
            </w:r>
          </w:p>
        </w:tc>
        <w:tc>
          <w:tcPr>
            <w:tcW w:w="1230" w:type="dxa"/>
            <w:tcBorders>
              <w:top w:val="nil"/>
              <w:left w:val="nil"/>
              <w:bottom w:val="nil"/>
              <w:right w:val="nil"/>
            </w:tcBorders>
            <w:vAlign w:val="center"/>
          </w:tcPr>
          <w:p w:rsidR="002C75DB" w:rsidRPr="0053468B" w:rsidRDefault="002C75DB" w:rsidP="00287F07">
            <w:pPr>
              <w:contextualSpacing/>
              <w:jc w:val="center"/>
              <w:rPr>
                <w:rFonts w:ascii="Times New Roman" w:hAnsi="Times New Roman" w:cs="Times New Roman"/>
                <w:sz w:val="16"/>
                <w:szCs w:val="16"/>
              </w:rPr>
            </w:pPr>
            <w:r w:rsidRPr="0053468B">
              <w:rPr>
                <w:rFonts w:ascii="Times New Roman" w:hAnsi="Times New Roman" w:cs="Times New Roman"/>
                <w:sz w:val="16"/>
                <w:szCs w:val="16"/>
              </w:rPr>
              <w:t>-0.0029</w:t>
            </w:r>
          </w:p>
        </w:tc>
        <w:tc>
          <w:tcPr>
            <w:tcW w:w="840" w:type="dxa"/>
            <w:tcBorders>
              <w:top w:val="nil"/>
              <w:left w:val="nil"/>
              <w:bottom w:val="nil"/>
              <w:right w:val="nil"/>
            </w:tcBorders>
            <w:noWrap/>
            <w:vAlign w:val="center"/>
            <w:hideMark/>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0.202</w:t>
            </w:r>
          </w:p>
        </w:tc>
        <w:tc>
          <w:tcPr>
            <w:tcW w:w="810" w:type="dxa"/>
            <w:tcBorders>
              <w:top w:val="nil"/>
              <w:left w:val="nil"/>
              <w:bottom w:val="nil"/>
              <w:right w:val="nil"/>
            </w:tcBorders>
            <w:noWrap/>
            <w:vAlign w:val="center"/>
            <w:hideMark/>
          </w:tcPr>
          <w:p w:rsidR="002C75DB" w:rsidRPr="002C75DB" w:rsidRDefault="002C75DB" w:rsidP="002C75DB">
            <w:pPr>
              <w:contextualSpacing/>
              <w:jc w:val="center"/>
              <w:rPr>
                <w:rFonts w:ascii="Times New Roman" w:hAnsi="Times New Roman" w:cs="Times New Roman"/>
                <w:sz w:val="16"/>
                <w:szCs w:val="16"/>
              </w:rPr>
            </w:pPr>
            <w:r w:rsidRPr="002C75DB">
              <w:rPr>
                <w:rFonts w:ascii="Times New Roman" w:hAnsi="Times New Roman" w:cs="Times New Roman"/>
                <w:sz w:val="16"/>
                <w:szCs w:val="16"/>
              </w:rPr>
              <w:t>1.373</w:t>
            </w:r>
          </w:p>
        </w:tc>
      </w:tr>
      <w:tr w:rsidR="002C75DB" w:rsidRPr="00056731" w:rsidTr="002C75DB">
        <w:trPr>
          <w:trHeight w:val="300"/>
        </w:trPr>
        <w:tc>
          <w:tcPr>
            <w:tcW w:w="86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p>
        </w:tc>
        <w:tc>
          <w:tcPr>
            <w:tcW w:w="111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r w:rsidRPr="00056731">
              <w:rPr>
                <w:rFonts w:ascii="Times New Roman" w:hAnsi="Times New Roman" w:cs="Times New Roman"/>
                <w:sz w:val="16"/>
                <w:szCs w:val="16"/>
              </w:rPr>
              <w:t>Median</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0.79</w:t>
            </w:r>
          </w:p>
        </w:tc>
        <w:tc>
          <w:tcPr>
            <w:tcW w:w="1008"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4.455</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0.0209</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1.369</w:t>
            </w:r>
          </w:p>
        </w:tc>
        <w:tc>
          <w:tcPr>
            <w:tcW w:w="874"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0.0185</w:t>
            </w:r>
          </w:p>
        </w:tc>
        <w:tc>
          <w:tcPr>
            <w:tcW w:w="1230"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w:t>
            </w:r>
          </w:p>
        </w:tc>
        <w:tc>
          <w:tcPr>
            <w:tcW w:w="840" w:type="dxa"/>
            <w:tcBorders>
              <w:top w:val="nil"/>
              <w:left w:val="nil"/>
              <w:bottom w:val="nil"/>
              <w:right w:val="nil"/>
            </w:tcBorders>
            <w:noWrap/>
            <w:vAlign w:val="center"/>
            <w:hideMark/>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0.182</w:t>
            </w:r>
          </w:p>
        </w:tc>
        <w:tc>
          <w:tcPr>
            <w:tcW w:w="810" w:type="dxa"/>
            <w:tcBorders>
              <w:top w:val="nil"/>
              <w:left w:val="nil"/>
              <w:bottom w:val="nil"/>
              <w:right w:val="nil"/>
            </w:tcBorders>
            <w:noWrap/>
            <w:vAlign w:val="center"/>
            <w:hideMark/>
          </w:tcPr>
          <w:p w:rsidR="002C75DB" w:rsidRPr="002C75DB" w:rsidRDefault="002C75DB" w:rsidP="002C75DB">
            <w:pPr>
              <w:contextualSpacing/>
              <w:jc w:val="center"/>
              <w:rPr>
                <w:rFonts w:ascii="Times New Roman" w:hAnsi="Times New Roman" w:cs="Times New Roman"/>
                <w:sz w:val="16"/>
                <w:szCs w:val="16"/>
              </w:rPr>
            </w:pPr>
            <w:r w:rsidRPr="002C75DB">
              <w:rPr>
                <w:rFonts w:ascii="Times New Roman" w:hAnsi="Times New Roman" w:cs="Times New Roman"/>
                <w:sz w:val="16"/>
                <w:szCs w:val="16"/>
              </w:rPr>
              <w:t>0.834</w:t>
            </w:r>
          </w:p>
        </w:tc>
      </w:tr>
      <w:tr w:rsidR="002C75DB" w:rsidRPr="00056731" w:rsidTr="002C75DB">
        <w:trPr>
          <w:trHeight w:val="300"/>
        </w:trPr>
        <w:tc>
          <w:tcPr>
            <w:tcW w:w="86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r w:rsidRPr="00056731">
              <w:rPr>
                <w:rFonts w:ascii="Times New Roman" w:hAnsi="Times New Roman" w:cs="Times New Roman"/>
                <w:sz w:val="16"/>
                <w:szCs w:val="16"/>
              </w:rPr>
              <w:t>Fiscal Q3</w:t>
            </w:r>
          </w:p>
        </w:tc>
        <w:tc>
          <w:tcPr>
            <w:tcW w:w="111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r w:rsidRPr="00056731">
              <w:rPr>
                <w:rFonts w:ascii="Times New Roman" w:hAnsi="Times New Roman" w:cs="Times New Roman"/>
                <w:sz w:val="16"/>
                <w:szCs w:val="16"/>
              </w:rPr>
              <w:t>N</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58,048</w:t>
            </w:r>
          </w:p>
        </w:tc>
        <w:tc>
          <w:tcPr>
            <w:tcW w:w="1008"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57,922</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58,048</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58,048</w:t>
            </w:r>
          </w:p>
        </w:tc>
        <w:tc>
          <w:tcPr>
            <w:tcW w:w="874"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56,863</w:t>
            </w:r>
          </w:p>
        </w:tc>
        <w:tc>
          <w:tcPr>
            <w:tcW w:w="1230"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57,789</w:t>
            </w:r>
          </w:p>
        </w:tc>
        <w:tc>
          <w:tcPr>
            <w:tcW w:w="840" w:type="dxa"/>
            <w:tcBorders>
              <w:top w:val="nil"/>
              <w:left w:val="nil"/>
              <w:bottom w:val="nil"/>
              <w:right w:val="nil"/>
            </w:tcBorders>
            <w:noWrap/>
            <w:vAlign w:val="center"/>
            <w:hideMark/>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54,240</w:t>
            </w:r>
          </w:p>
        </w:tc>
        <w:tc>
          <w:tcPr>
            <w:tcW w:w="810" w:type="dxa"/>
            <w:tcBorders>
              <w:top w:val="nil"/>
              <w:left w:val="nil"/>
              <w:bottom w:val="nil"/>
              <w:right w:val="nil"/>
            </w:tcBorders>
            <w:noWrap/>
            <w:vAlign w:val="center"/>
            <w:hideMark/>
          </w:tcPr>
          <w:p w:rsidR="002C75DB" w:rsidRPr="002C75DB" w:rsidRDefault="002C75DB" w:rsidP="002C75DB">
            <w:pPr>
              <w:contextualSpacing/>
              <w:jc w:val="center"/>
              <w:rPr>
                <w:rFonts w:ascii="Times New Roman" w:hAnsi="Times New Roman" w:cs="Times New Roman"/>
                <w:sz w:val="16"/>
                <w:szCs w:val="16"/>
              </w:rPr>
            </w:pPr>
            <w:r w:rsidRPr="002C75DB">
              <w:rPr>
                <w:rFonts w:ascii="Times New Roman" w:hAnsi="Times New Roman" w:cs="Times New Roman"/>
                <w:sz w:val="16"/>
                <w:szCs w:val="16"/>
              </w:rPr>
              <w:t>35,637</w:t>
            </w:r>
          </w:p>
        </w:tc>
      </w:tr>
      <w:tr w:rsidR="002C75DB" w:rsidRPr="00056731" w:rsidTr="002C75DB">
        <w:trPr>
          <w:trHeight w:val="300"/>
        </w:trPr>
        <w:tc>
          <w:tcPr>
            <w:tcW w:w="86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p>
        </w:tc>
        <w:tc>
          <w:tcPr>
            <w:tcW w:w="111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r w:rsidRPr="00056731">
              <w:rPr>
                <w:rFonts w:ascii="Times New Roman" w:hAnsi="Times New Roman" w:cs="Times New Roman"/>
                <w:sz w:val="16"/>
                <w:szCs w:val="16"/>
              </w:rPr>
              <w:t>Mean</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1.352</w:t>
            </w:r>
          </w:p>
        </w:tc>
        <w:tc>
          <w:tcPr>
            <w:tcW w:w="1008"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6.973</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0.0169</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1.763</w:t>
            </w:r>
          </w:p>
        </w:tc>
        <w:tc>
          <w:tcPr>
            <w:tcW w:w="874"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0.0498</w:t>
            </w:r>
          </w:p>
        </w:tc>
        <w:tc>
          <w:tcPr>
            <w:tcW w:w="1230" w:type="dxa"/>
            <w:tcBorders>
              <w:top w:val="nil"/>
              <w:left w:val="nil"/>
              <w:bottom w:val="nil"/>
              <w:right w:val="nil"/>
            </w:tcBorders>
            <w:vAlign w:val="center"/>
          </w:tcPr>
          <w:p w:rsidR="002C75DB" w:rsidRPr="0053468B" w:rsidRDefault="002C75DB" w:rsidP="00287F07">
            <w:pPr>
              <w:contextualSpacing/>
              <w:jc w:val="center"/>
              <w:rPr>
                <w:rFonts w:ascii="Times New Roman" w:hAnsi="Times New Roman" w:cs="Times New Roman"/>
                <w:sz w:val="16"/>
                <w:szCs w:val="16"/>
              </w:rPr>
            </w:pPr>
            <w:r w:rsidRPr="0053468B">
              <w:rPr>
                <w:rFonts w:ascii="Times New Roman" w:hAnsi="Times New Roman" w:cs="Times New Roman"/>
                <w:sz w:val="16"/>
                <w:szCs w:val="16"/>
              </w:rPr>
              <w:t>0.001</w:t>
            </w:r>
            <w:r w:rsidR="00287F07">
              <w:rPr>
                <w:rFonts w:ascii="Times New Roman" w:hAnsi="Times New Roman" w:cs="Times New Roman"/>
                <w:sz w:val="16"/>
                <w:szCs w:val="16"/>
              </w:rPr>
              <w:t>3</w:t>
            </w:r>
          </w:p>
        </w:tc>
        <w:tc>
          <w:tcPr>
            <w:tcW w:w="840" w:type="dxa"/>
            <w:tcBorders>
              <w:top w:val="nil"/>
              <w:left w:val="nil"/>
              <w:bottom w:val="nil"/>
              <w:right w:val="nil"/>
            </w:tcBorders>
            <w:noWrap/>
            <w:vAlign w:val="center"/>
            <w:hideMark/>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0.2</w:t>
            </w:r>
          </w:p>
        </w:tc>
        <w:tc>
          <w:tcPr>
            <w:tcW w:w="810" w:type="dxa"/>
            <w:tcBorders>
              <w:top w:val="nil"/>
              <w:left w:val="nil"/>
              <w:bottom w:val="nil"/>
              <w:right w:val="nil"/>
            </w:tcBorders>
            <w:noWrap/>
            <w:vAlign w:val="center"/>
            <w:hideMark/>
          </w:tcPr>
          <w:p w:rsidR="002C75DB" w:rsidRPr="002C75DB" w:rsidRDefault="002C75DB" w:rsidP="002C75DB">
            <w:pPr>
              <w:contextualSpacing/>
              <w:jc w:val="center"/>
              <w:rPr>
                <w:rFonts w:ascii="Times New Roman" w:hAnsi="Times New Roman" w:cs="Times New Roman"/>
                <w:sz w:val="16"/>
                <w:szCs w:val="16"/>
              </w:rPr>
            </w:pPr>
            <w:r w:rsidRPr="002C75DB">
              <w:rPr>
                <w:rFonts w:ascii="Times New Roman" w:hAnsi="Times New Roman" w:cs="Times New Roman"/>
                <w:sz w:val="16"/>
                <w:szCs w:val="16"/>
              </w:rPr>
              <w:t>1.447</w:t>
            </w:r>
          </w:p>
        </w:tc>
      </w:tr>
      <w:tr w:rsidR="002C75DB" w:rsidRPr="00056731" w:rsidTr="002C75DB">
        <w:trPr>
          <w:trHeight w:val="300"/>
        </w:trPr>
        <w:tc>
          <w:tcPr>
            <w:tcW w:w="86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p>
        </w:tc>
        <w:tc>
          <w:tcPr>
            <w:tcW w:w="111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r w:rsidRPr="00056731">
              <w:rPr>
                <w:rFonts w:ascii="Times New Roman" w:hAnsi="Times New Roman" w:cs="Times New Roman"/>
                <w:sz w:val="16"/>
                <w:szCs w:val="16"/>
              </w:rPr>
              <w:t>Median</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0.816</w:t>
            </w:r>
          </w:p>
        </w:tc>
        <w:tc>
          <w:tcPr>
            <w:tcW w:w="1008"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4.586</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0.0214</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1.363</w:t>
            </w:r>
          </w:p>
        </w:tc>
        <w:tc>
          <w:tcPr>
            <w:tcW w:w="874"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0.019</w:t>
            </w:r>
          </w:p>
        </w:tc>
        <w:tc>
          <w:tcPr>
            <w:tcW w:w="1230" w:type="dxa"/>
            <w:tcBorders>
              <w:top w:val="nil"/>
              <w:left w:val="nil"/>
              <w:bottom w:val="nil"/>
              <w:right w:val="nil"/>
            </w:tcBorders>
            <w:vAlign w:val="center"/>
          </w:tcPr>
          <w:p w:rsidR="002C75DB" w:rsidRPr="0053468B" w:rsidRDefault="002C75DB" w:rsidP="00287F07">
            <w:pPr>
              <w:contextualSpacing/>
              <w:jc w:val="center"/>
              <w:rPr>
                <w:rFonts w:ascii="Times New Roman" w:hAnsi="Times New Roman" w:cs="Times New Roman"/>
                <w:sz w:val="16"/>
                <w:szCs w:val="16"/>
              </w:rPr>
            </w:pPr>
            <w:r w:rsidRPr="0053468B">
              <w:rPr>
                <w:rFonts w:ascii="Times New Roman" w:hAnsi="Times New Roman" w:cs="Times New Roman"/>
                <w:sz w:val="16"/>
                <w:szCs w:val="16"/>
              </w:rPr>
              <w:t>0.0006</w:t>
            </w:r>
          </w:p>
        </w:tc>
        <w:tc>
          <w:tcPr>
            <w:tcW w:w="840" w:type="dxa"/>
            <w:tcBorders>
              <w:top w:val="nil"/>
              <w:left w:val="nil"/>
              <w:bottom w:val="nil"/>
              <w:right w:val="nil"/>
            </w:tcBorders>
            <w:noWrap/>
            <w:vAlign w:val="center"/>
            <w:hideMark/>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0.179</w:t>
            </w:r>
          </w:p>
        </w:tc>
        <w:tc>
          <w:tcPr>
            <w:tcW w:w="810" w:type="dxa"/>
            <w:tcBorders>
              <w:top w:val="nil"/>
              <w:left w:val="nil"/>
              <w:bottom w:val="nil"/>
              <w:right w:val="nil"/>
            </w:tcBorders>
            <w:noWrap/>
            <w:vAlign w:val="center"/>
            <w:hideMark/>
          </w:tcPr>
          <w:p w:rsidR="002C75DB" w:rsidRPr="002C75DB" w:rsidRDefault="002C75DB" w:rsidP="002C75DB">
            <w:pPr>
              <w:contextualSpacing/>
              <w:jc w:val="center"/>
              <w:rPr>
                <w:rFonts w:ascii="Times New Roman" w:hAnsi="Times New Roman" w:cs="Times New Roman"/>
                <w:sz w:val="16"/>
                <w:szCs w:val="16"/>
              </w:rPr>
            </w:pPr>
            <w:r w:rsidRPr="002C75DB">
              <w:rPr>
                <w:rFonts w:ascii="Times New Roman" w:hAnsi="Times New Roman" w:cs="Times New Roman"/>
                <w:sz w:val="16"/>
                <w:szCs w:val="16"/>
              </w:rPr>
              <w:t>0.885</w:t>
            </w:r>
          </w:p>
        </w:tc>
      </w:tr>
      <w:tr w:rsidR="002C75DB" w:rsidRPr="00056731" w:rsidTr="002C75DB">
        <w:trPr>
          <w:trHeight w:val="300"/>
        </w:trPr>
        <w:tc>
          <w:tcPr>
            <w:tcW w:w="86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r w:rsidRPr="00056731">
              <w:rPr>
                <w:rFonts w:ascii="Times New Roman" w:hAnsi="Times New Roman" w:cs="Times New Roman"/>
                <w:sz w:val="16"/>
                <w:szCs w:val="16"/>
              </w:rPr>
              <w:t>Fiscal Q4</w:t>
            </w:r>
          </w:p>
        </w:tc>
        <w:tc>
          <w:tcPr>
            <w:tcW w:w="111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r w:rsidRPr="00056731">
              <w:rPr>
                <w:rFonts w:ascii="Times New Roman" w:hAnsi="Times New Roman" w:cs="Times New Roman"/>
                <w:sz w:val="16"/>
                <w:szCs w:val="16"/>
              </w:rPr>
              <w:t>N</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58,048</w:t>
            </w:r>
          </w:p>
        </w:tc>
        <w:tc>
          <w:tcPr>
            <w:tcW w:w="1008"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57,936</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58,048</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58,048</w:t>
            </w:r>
          </w:p>
        </w:tc>
        <w:tc>
          <w:tcPr>
            <w:tcW w:w="874"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56,964</w:t>
            </w:r>
          </w:p>
        </w:tc>
        <w:tc>
          <w:tcPr>
            <w:tcW w:w="1230"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57,900</w:t>
            </w:r>
          </w:p>
        </w:tc>
        <w:tc>
          <w:tcPr>
            <w:tcW w:w="840" w:type="dxa"/>
            <w:tcBorders>
              <w:top w:val="nil"/>
              <w:left w:val="nil"/>
              <w:bottom w:val="nil"/>
              <w:right w:val="nil"/>
            </w:tcBorders>
            <w:noWrap/>
            <w:vAlign w:val="center"/>
            <w:hideMark/>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54,552</w:t>
            </w:r>
          </w:p>
        </w:tc>
        <w:tc>
          <w:tcPr>
            <w:tcW w:w="810" w:type="dxa"/>
            <w:tcBorders>
              <w:top w:val="nil"/>
              <w:left w:val="nil"/>
              <w:bottom w:val="nil"/>
              <w:right w:val="nil"/>
            </w:tcBorders>
            <w:noWrap/>
            <w:vAlign w:val="center"/>
            <w:hideMark/>
          </w:tcPr>
          <w:p w:rsidR="002C75DB" w:rsidRPr="002C75DB" w:rsidRDefault="002C75DB" w:rsidP="002C75DB">
            <w:pPr>
              <w:contextualSpacing/>
              <w:jc w:val="center"/>
              <w:rPr>
                <w:rFonts w:ascii="Times New Roman" w:hAnsi="Times New Roman" w:cs="Times New Roman"/>
                <w:sz w:val="16"/>
                <w:szCs w:val="16"/>
              </w:rPr>
            </w:pPr>
            <w:r w:rsidRPr="002C75DB">
              <w:rPr>
                <w:rFonts w:ascii="Times New Roman" w:hAnsi="Times New Roman" w:cs="Times New Roman"/>
                <w:sz w:val="16"/>
                <w:szCs w:val="16"/>
              </w:rPr>
              <w:t>35,637</w:t>
            </w:r>
          </w:p>
        </w:tc>
      </w:tr>
      <w:tr w:rsidR="002C75DB" w:rsidRPr="00056731" w:rsidTr="002C75DB">
        <w:trPr>
          <w:trHeight w:val="300"/>
        </w:trPr>
        <w:tc>
          <w:tcPr>
            <w:tcW w:w="86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p>
        </w:tc>
        <w:tc>
          <w:tcPr>
            <w:tcW w:w="1114" w:type="dxa"/>
            <w:tcBorders>
              <w:top w:val="nil"/>
              <w:left w:val="nil"/>
              <w:bottom w:val="nil"/>
              <w:right w:val="nil"/>
            </w:tcBorders>
            <w:noWrap/>
            <w:vAlign w:val="center"/>
            <w:hideMark/>
          </w:tcPr>
          <w:p w:rsidR="002C75DB" w:rsidRPr="00056731" w:rsidRDefault="002C75DB" w:rsidP="00056731">
            <w:pPr>
              <w:jc w:val="center"/>
              <w:rPr>
                <w:rFonts w:ascii="Times New Roman" w:hAnsi="Times New Roman" w:cs="Times New Roman"/>
                <w:sz w:val="16"/>
                <w:szCs w:val="16"/>
              </w:rPr>
            </w:pPr>
            <w:r w:rsidRPr="00056731">
              <w:rPr>
                <w:rFonts w:ascii="Times New Roman" w:hAnsi="Times New Roman" w:cs="Times New Roman"/>
                <w:sz w:val="16"/>
                <w:szCs w:val="16"/>
              </w:rPr>
              <w:t>Mean</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1.473</w:t>
            </w:r>
          </w:p>
        </w:tc>
        <w:tc>
          <w:tcPr>
            <w:tcW w:w="1008"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7.525</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0.0128</w:t>
            </w:r>
          </w:p>
        </w:tc>
        <w:tc>
          <w:tcPr>
            <w:tcW w:w="779"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1.726</w:t>
            </w:r>
          </w:p>
        </w:tc>
        <w:tc>
          <w:tcPr>
            <w:tcW w:w="874" w:type="dxa"/>
            <w:tcBorders>
              <w:top w:val="nil"/>
              <w:left w:val="nil"/>
              <w:bottom w:val="nil"/>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0.051</w:t>
            </w:r>
          </w:p>
        </w:tc>
        <w:tc>
          <w:tcPr>
            <w:tcW w:w="1230" w:type="dxa"/>
            <w:tcBorders>
              <w:top w:val="nil"/>
              <w:left w:val="nil"/>
              <w:bottom w:val="nil"/>
              <w:right w:val="nil"/>
            </w:tcBorders>
            <w:vAlign w:val="center"/>
          </w:tcPr>
          <w:p w:rsidR="002C75DB" w:rsidRPr="0053468B" w:rsidRDefault="002C75DB" w:rsidP="00287F07">
            <w:pPr>
              <w:contextualSpacing/>
              <w:jc w:val="center"/>
              <w:rPr>
                <w:rFonts w:ascii="Times New Roman" w:hAnsi="Times New Roman" w:cs="Times New Roman"/>
                <w:sz w:val="16"/>
                <w:szCs w:val="16"/>
              </w:rPr>
            </w:pPr>
            <w:r w:rsidRPr="0053468B">
              <w:rPr>
                <w:rFonts w:ascii="Times New Roman" w:hAnsi="Times New Roman" w:cs="Times New Roman"/>
                <w:sz w:val="16"/>
                <w:szCs w:val="16"/>
              </w:rPr>
              <w:t>0.0048</w:t>
            </w:r>
          </w:p>
        </w:tc>
        <w:tc>
          <w:tcPr>
            <w:tcW w:w="840" w:type="dxa"/>
            <w:tcBorders>
              <w:top w:val="nil"/>
              <w:left w:val="nil"/>
              <w:bottom w:val="nil"/>
              <w:right w:val="nil"/>
            </w:tcBorders>
            <w:noWrap/>
            <w:vAlign w:val="center"/>
            <w:hideMark/>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0.199</w:t>
            </w:r>
          </w:p>
        </w:tc>
        <w:tc>
          <w:tcPr>
            <w:tcW w:w="810" w:type="dxa"/>
            <w:tcBorders>
              <w:top w:val="nil"/>
              <w:left w:val="nil"/>
              <w:bottom w:val="nil"/>
              <w:right w:val="nil"/>
            </w:tcBorders>
            <w:noWrap/>
            <w:vAlign w:val="center"/>
            <w:hideMark/>
          </w:tcPr>
          <w:p w:rsidR="002C75DB" w:rsidRPr="002C75DB" w:rsidRDefault="002C75DB" w:rsidP="002C75DB">
            <w:pPr>
              <w:contextualSpacing/>
              <w:jc w:val="center"/>
              <w:rPr>
                <w:rFonts w:ascii="Times New Roman" w:hAnsi="Times New Roman" w:cs="Times New Roman"/>
                <w:sz w:val="16"/>
                <w:szCs w:val="16"/>
              </w:rPr>
            </w:pPr>
            <w:r w:rsidRPr="002C75DB">
              <w:rPr>
                <w:rFonts w:ascii="Times New Roman" w:hAnsi="Times New Roman" w:cs="Times New Roman"/>
                <w:sz w:val="16"/>
                <w:szCs w:val="16"/>
              </w:rPr>
              <w:t>1.584</w:t>
            </w:r>
          </w:p>
        </w:tc>
      </w:tr>
      <w:tr w:rsidR="002C75DB" w:rsidRPr="00056731" w:rsidTr="002C75DB">
        <w:trPr>
          <w:trHeight w:val="300"/>
        </w:trPr>
        <w:tc>
          <w:tcPr>
            <w:tcW w:w="864" w:type="dxa"/>
            <w:tcBorders>
              <w:top w:val="nil"/>
              <w:left w:val="nil"/>
              <w:bottom w:val="double" w:sz="4" w:space="0" w:color="auto"/>
              <w:right w:val="nil"/>
            </w:tcBorders>
            <w:noWrap/>
            <w:vAlign w:val="center"/>
            <w:hideMark/>
          </w:tcPr>
          <w:p w:rsidR="002C75DB" w:rsidRPr="00056731" w:rsidRDefault="002C75DB" w:rsidP="00056731">
            <w:pPr>
              <w:jc w:val="center"/>
              <w:rPr>
                <w:rFonts w:ascii="Times New Roman" w:hAnsi="Times New Roman" w:cs="Times New Roman"/>
                <w:sz w:val="16"/>
                <w:szCs w:val="16"/>
              </w:rPr>
            </w:pPr>
          </w:p>
        </w:tc>
        <w:tc>
          <w:tcPr>
            <w:tcW w:w="1114" w:type="dxa"/>
            <w:tcBorders>
              <w:top w:val="nil"/>
              <w:left w:val="nil"/>
              <w:bottom w:val="double" w:sz="4" w:space="0" w:color="auto"/>
              <w:right w:val="nil"/>
            </w:tcBorders>
            <w:noWrap/>
            <w:vAlign w:val="center"/>
            <w:hideMark/>
          </w:tcPr>
          <w:p w:rsidR="002C75DB" w:rsidRPr="00056731" w:rsidRDefault="002C75DB" w:rsidP="00056731">
            <w:pPr>
              <w:jc w:val="center"/>
              <w:rPr>
                <w:rFonts w:ascii="Times New Roman" w:hAnsi="Times New Roman" w:cs="Times New Roman"/>
                <w:sz w:val="16"/>
                <w:szCs w:val="16"/>
              </w:rPr>
            </w:pPr>
            <w:r w:rsidRPr="00056731">
              <w:rPr>
                <w:rFonts w:ascii="Times New Roman" w:hAnsi="Times New Roman" w:cs="Times New Roman"/>
                <w:sz w:val="16"/>
                <w:szCs w:val="16"/>
              </w:rPr>
              <w:t>Median</w:t>
            </w:r>
          </w:p>
        </w:tc>
        <w:tc>
          <w:tcPr>
            <w:tcW w:w="779" w:type="dxa"/>
            <w:tcBorders>
              <w:top w:val="nil"/>
              <w:left w:val="nil"/>
              <w:bottom w:val="double" w:sz="4" w:space="0" w:color="auto"/>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0.927</w:t>
            </w:r>
          </w:p>
        </w:tc>
        <w:tc>
          <w:tcPr>
            <w:tcW w:w="1008" w:type="dxa"/>
            <w:tcBorders>
              <w:top w:val="nil"/>
              <w:left w:val="nil"/>
              <w:bottom w:val="double" w:sz="4" w:space="0" w:color="auto"/>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5.154</w:t>
            </w:r>
          </w:p>
        </w:tc>
        <w:tc>
          <w:tcPr>
            <w:tcW w:w="779" w:type="dxa"/>
            <w:tcBorders>
              <w:top w:val="nil"/>
              <w:left w:val="nil"/>
              <w:bottom w:val="double" w:sz="4" w:space="0" w:color="auto"/>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0.0206</w:t>
            </w:r>
          </w:p>
        </w:tc>
        <w:tc>
          <w:tcPr>
            <w:tcW w:w="779" w:type="dxa"/>
            <w:tcBorders>
              <w:top w:val="nil"/>
              <w:left w:val="nil"/>
              <w:bottom w:val="double" w:sz="4" w:space="0" w:color="auto"/>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1.338</w:t>
            </w:r>
          </w:p>
        </w:tc>
        <w:tc>
          <w:tcPr>
            <w:tcW w:w="874" w:type="dxa"/>
            <w:tcBorders>
              <w:top w:val="nil"/>
              <w:left w:val="nil"/>
              <w:bottom w:val="double" w:sz="4" w:space="0" w:color="auto"/>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w:t>
            </w:r>
          </w:p>
        </w:tc>
        <w:tc>
          <w:tcPr>
            <w:tcW w:w="1230" w:type="dxa"/>
            <w:tcBorders>
              <w:top w:val="nil"/>
              <w:left w:val="nil"/>
              <w:bottom w:val="double" w:sz="4" w:space="0" w:color="auto"/>
              <w:right w:val="nil"/>
            </w:tcBorders>
            <w:vAlign w:val="center"/>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w:t>
            </w:r>
          </w:p>
        </w:tc>
        <w:tc>
          <w:tcPr>
            <w:tcW w:w="840" w:type="dxa"/>
            <w:tcBorders>
              <w:top w:val="nil"/>
              <w:left w:val="nil"/>
              <w:bottom w:val="double" w:sz="4" w:space="0" w:color="auto"/>
              <w:right w:val="nil"/>
            </w:tcBorders>
            <w:noWrap/>
            <w:vAlign w:val="center"/>
            <w:hideMark/>
          </w:tcPr>
          <w:p w:rsidR="002C75DB" w:rsidRPr="0053468B" w:rsidRDefault="002C75DB" w:rsidP="0053468B">
            <w:pPr>
              <w:contextualSpacing/>
              <w:jc w:val="center"/>
              <w:rPr>
                <w:rFonts w:ascii="Times New Roman" w:hAnsi="Times New Roman" w:cs="Times New Roman"/>
                <w:sz w:val="16"/>
                <w:szCs w:val="16"/>
              </w:rPr>
            </w:pPr>
            <w:r w:rsidRPr="0053468B">
              <w:rPr>
                <w:rFonts w:ascii="Times New Roman" w:hAnsi="Times New Roman" w:cs="Times New Roman"/>
                <w:sz w:val="16"/>
                <w:szCs w:val="16"/>
              </w:rPr>
              <w:t>0.177</w:t>
            </w:r>
          </w:p>
        </w:tc>
        <w:tc>
          <w:tcPr>
            <w:tcW w:w="810" w:type="dxa"/>
            <w:tcBorders>
              <w:top w:val="nil"/>
              <w:left w:val="nil"/>
              <w:bottom w:val="double" w:sz="4" w:space="0" w:color="auto"/>
              <w:right w:val="nil"/>
            </w:tcBorders>
            <w:noWrap/>
            <w:vAlign w:val="center"/>
            <w:hideMark/>
          </w:tcPr>
          <w:p w:rsidR="002C75DB" w:rsidRPr="002C75DB" w:rsidRDefault="002C75DB" w:rsidP="002C75DB">
            <w:pPr>
              <w:contextualSpacing/>
              <w:jc w:val="center"/>
              <w:rPr>
                <w:rFonts w:ascii="Times New Roman" w:hAnsi="Times New Roman" w:cs="Times New Roman"/>
                <w:sz w:val="16"/>
                <w:szCs w:val="16"/>
              </w:rPr>
            </w:pPr>
            <w:r w:rsidRPr="002C75DB">
              <w:rPr>
                <w:rFonts w:ascii="Times New Roman" w:hAnsi="Times New Roman" w:cs="Times New Roman"/>
                <w:sz w:val="16"/>
                <w:szCs w:val="16"/>
              </w:rPr>
              <w:t>1.001</w:t>
            </w:r>
          </w:p>
        </w:tc>
      </w:tr>
    </w:tbl>
    <w:tbl>
      <w:tblPr>
        <w:tblStyle w:val="a3"/>
        <w:tblpPr w:leftFromText="180" w:rightFromText="180" w:vertAnchor="text" w:horzAnchor="margin" w:tblpY="6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114"/>
        <w:gridCol w:w="848"/>
        <w:gridCol w:w="1008"/>
        <w:gridCol w:w="855"/>
        <w:gridCol w:w="718"/>
        <w:gridCol w:w="1059"/>
        <w:gridCol w:w="1260"/>
        <w:gridCol w:w="812"/>
      </w:tblGrid>
      <w:tr w:rsidR="002C75DB" w:rsidRPr="005B6BA7" w:rsidTr="002C75DB">
        <w:trPr>
          <w:trHeight w:val="300"/>
        </w:trPr>
        <w:tc>
          <w:tcPr>
            <w:tcW w:w="8754" w:type="dxa"/>
            <w:gridSpan w:val="9"/>
            <w:tcBorders>
              <w:top w:val="double" w:sz="4" w:space="0" w:color="auto"/>
            </w:tcBorders>
            <w:noWrap/>
            <w:vAlign w:val="center"/>
          </w:tcPr>
          <w:p w:rsidR="002C75DB" w:rsidRPr="005B6BA7" w:rsidRDefault="002C75DB" w:rsidP="00E530A7">
            <w:pPr>
              <w:widowControl w:val="0"/>
              <w:autoSpaceDE w:val="0"/>
              <w:autoSpaceDN w:val="0"/>
              <w:adjustRightInd w:val="0"/>
              <w:jc w:val="center"/>
              <w:rPr>
                <w:rFonts w:ascii="Times New Roman" w:hAnsi="Times New Roman" w:cs="Times New Roman"/>
                <w:sz w:val="18"/>
                <w:szCs w:val="24"/>
              </w:rPr>
            </w:pPr>
            <w:r w:rsidRPr="005B6BA7">
              <w:rPr>
                <w:rFonts w:ascii="Times New Roman" w:hAnsi="Times New Roman" w:cs="Times New Roman"/>
                <w:sz w:val="18"/>
                <w:szCs w:val="24"/>
              </w:rPr>
              <w:t xml:space="preserve">Panel B: Firm </w:t>
            </w:r>
            <w:r w:rsidR="00572912">
              <w:rPr>
                <w:rFonts w:ascii="Times New Roman" w:hAnsi="Times New Roman" w:cs="Times New Roman"/>
                <w:sz w:val="18"/>
                <w:szCs w:val="24"/>
              </w:rPr>
              <w:t>V</w:t>
            </w:r>
            <w:r w:rsidRPr="005B6BA7">
              <w:rPr>
                <w:rFonts w:ascii="Times New Roman" w:hAnsi="Times New Roman" w:cs="Times New Roman"/>
                <w:sz w:val="18"/>
                <w:szCs w:val="24"/>
              </w:rPr>
              <w:t xml:space="preserve">ariable </w:t>
            </w:r>
            <w:r w:rsidR="00572912">
              <w:rPr>
                <w:rFonts w:ascii="Times New Roman" w:hAnsi="Times New Roman" w:cs="Times New Roman"/>
                <w:sz w:val="18"/>
                <w:szCs w:val="24"/>
              </w:rPr>
              <w:t>S</w:t>
            </w:r>
            <w:r w:rsidRPr="005B6BA7">
              <w:rPr>
                <w:rFonts w:ascii="Times New Roman" w:hAnsi="Times New Roman" w:cs="Times New Roman"/>
                <w:sz w:val="18"/>
                <w:szCs w:val="24"/>
              </w:rPr>
              <w:t xml:space="preserve">ummary </w:t>
            </w:r>
            <w:r w:rsidR="00572912">
              <w:rPr>
                <w:rFonts w:ascii="Times New Roman" w:hAnsi="Times New Roman" w:cs="Times New Roman"/>
                <w:sz w:val="18"/>
                <w:szCs w:val="24"/>
              </w:rPr>
              <w:t>S</w:t>
            </w:r>
            <w:r w:rsidRPr="005B6BA7">
              <w:rPr>
                <w:rFonts w:ascii="Times New Roman" w:hAnsi="Times New Roman" w:cs="Times New Roman"/>
                <w:sz w:val="18"/>
                <w:szCs w:val="24"/>
              </w:rPr>
              <w:t xml:space="preserve">tatistics by </w:t>
            </w:r>
            <w:r w:rsidR="00572912">
              <w:rPr>
                <w:rFonts w:ascii="Times New Roman" w:hAnsi="Times New Roman" w:cs="Times New Roman"/>
                <w:b/>
                <w:sz w:val="18"/>
                <w:szCs w:val="24"/>
              </w:rPr>
              <w:t>C</w:t>
            </w:r>
            <w:r w:rsidRPr="009F11C1">
              <w:rPr>
                <w:rFonts w:ascii="Times New Roman" w:hAnsi="Times New Roman" w:cs="Times New Roman"/>
                <w:b/>
                <w:sz w:val="18"/>
                <w:szCs w:val="24"/>
              </w:rPr>
              <w:t>alendar</w:t>
            </w:r>
            <w:r w:rsidRPr="005B6BA7">
              <w:rPr>
                <w:rFonts w:ascii="Times New Roman" w:hAnsi="Times New Roman" w:cs="Times New Roman"/>
                <w:sz w:val="18"/>
                <w:szCs w:val="24"/>
              </w:rPr>
              <w:t xml:space="preserve"> </w:t>
            </w:r>
            <w:r w:rsidR="00572912">
              <w:rPr>
                <w:rFonts w:ascii="Times New Roman" w:hAnsi="Times New Roman" w:cs="Times New Roman"/>
                <w:sz w:val="18"/>
                <w:szCs w:val="24"/>
              </w:rPr>
              <w:t>Q</w:t>
            </w:r>
            <w:r w:rsidRPr="005B6BA7">
              <w:rPr>
                <w:rFonts w:ascii="Times New Roman" w:hAnsi="Times New Roman" w:cs="Times New Roman"/>
                <w:sz w:val="18"/>
                <w:szCs w:val="24"/>
              </w:rPr>
              <w:t>uarter (</w:t>
            </w:r>
            <w:r>
              <w:rPr>
                <w:rFonts w:ascii="Times New Roman" w:hAnsi="Times New Roman" w:cs="Times New Roman"/>
                <w:sz w:val="18"/>
                <w:szCs w:val="24"/>
              </w:rPr>
              <w:t xml:space="preserve">Fiscal </w:t>
            </w:r>
            <w:r w:rsidR="00572912">
              <w:rPr>
                <w:rFonts w:ascii="Times New Roman" w:hAnsi="Times New Roman" w:cs="Times New Roman"/>
                <w:sz w:val="18"/>
                <w:szCs w:val="24"/>
              </w:rPr>
              <w:t>Y</w:t>
            </w:r>
            <w:r>
              <w:rPr>
                <w:rFonts w:ascii="Times New Roman" w:hAnsi="Times New Roman" w:cs="Times New Roman"/>
                <w:sz w:val="18"/>
                <w:szCs w:val="24"/>
              </w:rPr>
              <w:t xml:space="preserve">ear </w:t>
            </w:r>
            <w:r w:rsidR="00572912">
              <w:rPr>
                <w:rFonts w:ascii="Times New Roman" w:hAnsi="Times New Roman" w:cs="Times New Roman"/>
                <w:sz w:val="18"/>
                <w:szCs w:val="24"/>
              </w:rPr>
              <w:t>E</w:t>
            </w:r>
            <w:r>
              <w:rPr>
                <w:rFonts w:ascii="Times New Roman" w:hAnsi="Times New Roman" w:cs="Times New Roman"/>
                <w:sz w:val="18"/>
                <w:szCs w:val="24"/>
              </w:rPr>
              <w:t>nd ≠ Dec.</w:t>
            </w:r>
            <w:r w:rsidRPr="005B6BA7">
              <w:rPr>
                <w:rFonts w:ascii="Times New Roman" w:hAnsi="Times New Roman" w:cs="Times New Roman"/>
                <w:sz w:val="18"/>
                <w:szCs w:val="24"/>
              </w:rPr>
              <w:t>)</w:t>
            </w:r>
          </w:p>
        </w:tc>
      </w:tr>
      <w:tr w:rsidR="002C75DB" w:rsidRPr="005B6BA7" w:rsidTr="002C75DB">
        <w:trPr>
          <w:trHeight w:val="300"/>
        </w:trPr>
        <w:tc>
          <w:tcPr>
            <w:tcW w:w="1080" w:type="dxa"/>
            <w:tcBorders>
              <w:top w:val="single" w:sz="4" w:space="0" w:color="auto"/>
            </w:tcBorders>
            <w:noWrap/>
            <w:vAlign w:val="center"/>
          </w:tcPr>
          <w:p w:rsidR="002C75DB" w:rsidRPr="005B6BA7" w:rsidRDefault="002C75DB" w:rsidP="002C75DB">
            <w:pPr>
              <w:jc w:val="center"/>
              <w:rPr>
                <w:rFonts w:ascii="Times New Roman" w:hAnsi="Times New Roman" w:cs="Times New Roman"/>
                <w:sz w:val="16"/>
              </w:rPr>
            </w:pPr>
          </w:p>
        </w:tc>
        <w:tc>
          <w:tcPr>
            <w:tcW w:w="1114" w:type="dxa"/>
            <w:tcBorders>
              <w:top w:val="single" w:sz="4" w:space="0" w:color="auto"/>
            </w:tcBorders>
            <w:noWrap/>
            <w:vAlign w:val="center"/>
          </w:tcPr>
          <w:p w:rsidR="002C75DB" w:rsidRPr="005B6BA7" w:rsidRDefault="002C75DB" w:rsidP="002C75DB">
            <w:pPr>
              <w:widowControl w:val="0"/>
              <w:autoSpaceDE w:val="0"/>
              <w:autoSpaceDN w:val="0"/>
              <w:adjustRightInd w:val="0"/>
              <w:jc w:val="center"/>
              <w:rPr>
                <w:rFonts w:ascii="Times New Roman" w:hAnsi="Times New Roman" w:cs="Times New Roman"/>
                <w:sz w:val="16"/>
                <w:szCs w:val="24"/>
              </w:rPr>
            </w:pPr>
          </w:p>
        </w:tc>
        <w:tc>
          <w:tcPr>
            <w:tcW w:w="848" w:type="dxa"/>
            <w:tcBorders>
              <w:top w:val="single" w:sz="4" w:space="0" w:color="auto"/>
            </w:tcBorders>
            <w:vAlign w:val="center"/>
          </w:tcPr>
          <w:p w:rsidR="002C75DB" w:rsidRPr="005B6BA7" w:rsidRDefault="002C75DB" w:rsidP="002C75DB">
            <w:pPr>
              <w:widowControl w:val="0"/>
              <w:autoSpaceDE w:val="0"/>
              <w:autoSpaceDN w:val="0"/>
              <w:adjustRightInd w:val="0"/>
              <w:jc w:val="center"/>
              <w:rPr>
                <w:rFonts w:ascii="Times New Roman" w:hAnsi="Times New Roman" w:cs="Times New Roman"/>
                <w:sz w:val="16"/>
                <w:szCs w:val="24"/>
              </w:rPr>
            </w:pPr>
            <w:r w:rsidRPr="005B6BA7">
              <w:rPr>
                <w:rFonts w:ascii="Times New Roman" w:hAnsi="Times New Roman" w:cs="Times New Roman"/>
                <w:sz w:val="16"/>
                <w:szCs w:val="24"/>
              </w:rPr>
              <w:t>(1)</w:t>
            </w:r>
          </w:p>
        </w:tc>
        <w:tc>
          <w:tcPr>
            <w:tcW w:w="1008" w:type="dxa"/>
            <w:tcBorders>
              <w:top w:val="single" w:sz="4" w:space="0" w:color="auto"/>
            </w:tcBorders>
            <w:vAlign w:val="center"/>
          </w:tcPr>
          <w:p w:rsidR="002C75DB" w:rsidRPr="005B6BA7" w:rsidRDefault="002C75DB" w:rsidP="002C75DB">
            <w:pPr>
              <w:widowControl w:val="0"/>
              <w:autoSpaceDE w:val="0"/>
              <w:autoSpaceDN w:val="0"/>
              <w:adjustRightInd w:val="0"/>
              <w:jc w:val="center"/>
              <w:rPr>
                <w:rFonts w:ascii="Times New Roman" w:hAnsi="Times New Roman" w:cs="Times New Roman"/>
                <w:sz w:val="16"/>
                <w:szCs w:val="24"/>
              </w:rPr>
            </w:pPr>
            <w:r w:rsidRPr="005B6BA7">
              <w:rPr>
                <w:rFonts w:ascii="Times New Roman" w:hAnsi="Times New Roman" w:cs="Times New Roman"/>
                <w:sz w:val="16"/>
                <w:szCs w:val="24"/>
              </w:rPr>
              <w:t>(2)</w:t>
            </w:r>
          </w:p>
        </w:tc>
        <w:tc>
          <w:tcPr>
            <w:tcW w:w="855" w:type="dxa"/>
            <w:tcBorders>
              <w:top w:val="single" w:sz="4" w:space="0" w:color="auto"/>
            </w:tcBorders>
            <w:vAlign w:val="center"/>
          </w:tcPr>
          <w:p w:rsidR="002C75DB" w:rsidRPr="005B6BA7" w:rsidRDefault="002C75DB" w:rsidP="002C75DB">
            <w:pPr>
              <w:widowControl w:val="0"/>
              <w:autoSpaceDE w:val="0"/>
              <w:autoSpaceDN w:val="0"/>
              <w:adjustRightInd w:val="0"/>
              <w:jc w:val="center"/>
              <w:rPr>
                <w:rFonts w:ascii="Times New Roman" w:hAnsi="Times New Roman" w:cs="Times New Roman"/>
                <w:sz w:val="16"/>
                <w:szCs w:val="24"/>
              </w:rPr>
            </w:pPr>
            <w:r w:rsidRPr="005B6BA7">
              <w:rPr>
                <w:rFonts w:ascii="Times New Roman" w:hAnsi="Times New Roman" w:cs="Times New Roman"/>
                <w:sz w:val="16"/>
                <w:szCs w:val="24"/>
              </w:rPr>
              <w:t>(3)</w:t>
            </w:r>
          </w:p>
        </w:tc>
        <w:tc>
          <w:tcPr>
            <w:tcW w:w="718" w:type="dxa"/>
            <w:tcBorders>
              <w:top w:val="single" w:sz="4" w:space="0" w:color="auto"/>
            </w:tcBorders>
            <w:vAlign w:val="center"/>
          </w:tcPr>
          <w:p w:rsidR="002C75DB" w:rsidRPr="005B6BA7" w:rsidRDefault="002C75DB" w:rsidP="002C75DB">
            <w:pPr>
              <w:widowControl w:val="0"/>
              <w:autoSpaceDE w:val="0"/>
              <w:autoSpaceDN w:val="0"/>
              <w:adjustRightInd w:val="0"/>
              <w:jc w:val="center"/>
              <w:rPr>
                <w:rFonts w:ascii="Times New Roman" w:hAnsi="Times New Roman" w:cs="Times New Roman"/>
                <w:sz w:val="16"/>
                <w:szCs w:val="24"/>
              </w:rPr>
            </w:pPr>
            <w:r w:rsidRPr="005B6BA7">
              <w:rPr>
                <w:rFonts w:ascii="Times New Roman" w:hAnsi="Times New Roman" w:cs="Times New Roman"/>
                <w:sz w:val="16"/>
                <w:szCs w:val="24"/>
              </w:rPr>
              <w:t>(4)</w:t>
            </w:r>
          </w:p>
        </w:tc>
        <w:tc>
          <w:tcPr>
            <w:tcW w:w="1059" w:type="dxa"/>
            <w:tcBorders>
              <w:top w:val="single" w:sz="4" w:space="0" w:color="auto"/>
            </w:tcBorders>
            <w:vAlign w:val="center"/>
          </w:tcPr>
          <w:p w:rsidR="002C75DB" w:rsidRPr="005B6BA7" w:rsidRDefault="002C75DB" w:rsidP="002C75DB">
            <w:pPr>
              <w:widowControl w:val="0"/>
              <w:autoSpaceDE w:val="0"/>
              <w:autoSpaceDN w:val="0"/>
              <w:adjustRightInd w:val="0"/>
              <w:jc w:val="center"/>
              <w:rPr>
                <w:rFonts w:ascii="Times New Roman" w:hAnsi="Times New Roman" w:cs="Times New Roman"/>
                <w:sz w:val="16"/>
                <w:szCs w:val="24"/>
              </w:rPr>
            </w:pPr>
            <w:r w:rsidRPr="005B6BA7">
              <w:rPr>
                <w:rFonts w:ascii="Times New Roman" w:hAnsi="Times New Roman" w:cs="Times New Roman"/>
                <w:sz w:val="16"/>
                <w:szCs w:val="24"/>
              </w:rPr>
              <w:t>(5)</w:t>
            </w:r>
          </w:p>
        </w:tc>
        <w:tc>
          <w:tcPr>
            <w:tcW w:w="1260" w:type="dxa"/>
            <w:tcBorders>
              <w:top w:val="single" w:sz="4" w:space="0" w:color="auto"/>
            </w:tcBorders>
            <w:vAlign w:val="center"/>
          </w:tcPr>
          <w:p w:rsidR="002C75DB" w:rsidRPr="005B6BA7" w:rsidRDefault="002C75DB" w:rsidP="002C75DB">
            <w:pPr>
              <w:widowControl w:val="0"/>
              <w:autoSpaceDE w:val="0"/>
              <w:autoSpaceDN w:val="0"/>
              <w:adjustRightInd w:val="0"/>
              <w:jc w:val="center"/>
              <w:rPr>
                <w:rFonts w:ascii="Times New Roman" w:hAnsi="Times New Roman" w:cs="Times New Roman"/>
                <w:sz w:val="16"/>
                <w:szCs w:val="24"/>
              </w:rPr>
            </w:pPr>
            <w:r w:rsidRPr="005B6BA7">
              <w:rPr>
                <w:rFonts w:ascii="Times New Roman" w:hAnsi="Times New Roman" w:cs="Times New Roman"/>
                <w:sz w:val="16"/>
                <w:szCs w:val="24"/>
              </w:rPr>
              <w:t>(6)</w:t>
            </w:r>
          </w:p>
        </w:tc>
        <w:tc>
          <w:tcPr>
            <w:tcW w:w="812" w:type="dxa"/>
            <w:tcBorders>
              <w:top w:val="single" w:sz="4" w:space="0" w:color="auto"/>
            </w:tcBorders>
            <w:noWrap/>
            <w:vAlign w:val="center"/>
          </w:tcPr>
          <w:p w:rsidR="002C75DB" w:rsidRPr="005B6BA7" w:rsidRDefault="002C75DB" w:rsidP="002C75DB">
            <w:pPr>
              <w:widowControl w:val="0"/>
              <w:autoSpaceDE w:val="0"/>
              <w:autoSpaceDN w:val="0"/>
              <w:adjustRightInd w:val="0"/>
              <w:jc w:val="center"/>
              <w:rPr>
                <w:rFonts w:ascii="Times New Roman" w:hAnsi="Times New Roman" w:cs="Times New Roman"/>
                <w:sz w:val="16"/>
                <w:szCs w:val="24"/>
              </w:rPr>
            </w:pPr>
            <w:r w:rsidRPr="005B6BA7">
              <w:rPr>
                <w:rFonts w:ascii="Times New Roman" w:hAnsi="Times New Roman" w:cs="Times New Roman"/>
                <w:sz w:val="16"/>
                <w:szCs w:val="24"/>
              </w:rPr>
              <w:t>(7)</w:t>
            </w:r>
          </w:p>
        </w:tc>
      </w:tr>
      <w:tr w:rsidR="002C75DB" w:rsidRPr="005B6BA7" w:rsidTr="002C75DB">
        <w:trPr>
          <w:trHeight w:val="300"/>
        </w:trPr>
        <w:tc>
          <w:tcPr>
            <w:tcW w:w="1080" w:type="dxa"/>
            <w:tcBorders>
              <w:bottom w:val="single" w:sz="4" w:space="0" w:color="auto"/>
            </w:tcBorders>
            <w:noWrap/>
            <w:vAlign w:val="center"/>
            <w:hideMark/>
          </w:tcPr>
          <w:p w:rsidR="002C75DB" w:rsidRPr="005B6BA7" w:rsidRDefault="002C75DB" w:rsidP="002C75DB">
            <w:pPr>
              <w:jc w:val="center"/>
              <w:rPr>
                <w:rFonts w:ascii="Times New Roman" w:hAnsi="Times New Roman" w:cs="Times New Roman"/>
                <w:sz w:val="16"/>
              </w:rPr>
            </w:pPr>
          </w:p>
        </w:tc>
        <w:tc>
          <w:tcPr>
            <w:tcW w:w="1114" w:type="dxa"/>
            <w:tcBorders>
              <w:bottom w:val="single" w:sz="4" w:space="0" w:color="auto"/>
            </w:tcBorders>
            <w:noWrap/>
            <w:vAlign w:val="center"/>
            <w:hideMark/>
          </w:tcPr>
          <w:p w:rsidR="002C75DB" w:rsidRPr="005B6BA7" w:rsidRDefault="00572912" w:rsidP="002C75DB">
            <w:pPr>
              <w:jc w:val="center"/>
              <w:rPr>
                <w:rFonts w:ascii="Times New Roman" w:hAnsi="Times New Roman" w:cs="Times New Roman"/>
                <w:sz w:val="16"/>
              </w:rPr>
            </w:pPr>
            <w:r w:rsidRPr="00526653">
              <w:rPr>
                <w:rFonts w:ascii="Times New Roman" w:hAnsi="Times New Roman" w:cs="Times New Roman"/>
                <w:sz w:val="18"/>
                <w:szCs w:val="18"/>
              </w:rPr>
              <w:t>V</w:t>
            </w:r>
            <w:r>
              <w:rPr>
                <w:rFonts w:ascii="Times New Roman" w:hAnsi="Times New Roman" w:cs="Times New Roman"/>
                <w:sz w:val="18"/>
                <w:szCs w:val="18"/>
              </w:rPr>
              <w:t>ariables</w:t>
            </w:r>
          </w:p>
        </w:tc>
        <w:tc>
          <w:tcPr>
            <w:tcW w:w="848" w:type="dxa"/>
            <w:tcBorders>
              <w:bottom w:val="single" w:sz="4" w:space="0" w:color="auto"/>
            </w:tcBorders>
            <w:vAlign w:val="center"/>
          </w:tcPr>
          <w:p w:rsidR="002C75DB" w:rsidRPr="005B6BA7" w:rsidRDefault="002C75DB" w:rsidP="002C75DB">
            <w:pPr>
              <w:jc w:val="center"/>
              <w:rPr>
                <w:rFonts w:ascii="Times New Roman" w:hAnsi="Times New Roman" w:cs="Times New Roman"/>
                <w:sz w:val="16"/>
              </w:rPr>
            </w:pPr>
            <w:r w:rsidRPr="005B6BA7">
              <w:rPr>
                <w:rFonts w:ascii="Times New Roman" w:hAnsi="Times New Roman" w:cs="Times New Roman"/>
                <w:sz w:val="16"/>
              </w:rPr>
              <w:t>CapEx</w:t>
            </w:r>
          </w:p>
        </w:tc>
        <w:tc>
          <w:tcPr>
            <w:tcW w:w="1008" w:type="dxa"/>
            <w:tcBorders>
              <w:bottom w:val="single" w:sz="4" w:space="0" w:color="auto"/>
            </w:tcBorders>
            <w:vAlign w:val="center"/>
          </w:tcPr>
          <w:p w:rsidR="002C75DB" w:rsidRPr="005B6BA7" w:rsidRDefault="002C75DB" w:rsidP="002C75DB">
            <w:pPr>
              <w:jc w:val="center"/>
              <w:rPr>
                <w:rFonts w:ascii="Times New Roman" w:hAnsi="Times New Roman" w:cs="Times New Roman"/>
                <w:sz w:val="16"/>
              </w:rPr>
            </w:pPr>
            <w:r w:rsidRPr="005B6BA7">
              <w:rPr>
                <w:rFonts w:ascii="Times New Roman" w:hAnsi="Times New Roman" w:cs="Times New Roman"/>
                <w:sz w:val="16"/>
              </w:rPr>
              <w:t>CapEx_PPE</w:t>
            </w:r>
          </w:p>
        </w:tc>
        <w:tc>
          <w:tcPr>
            <w:tcW w:w="855" w:type="dxa"/>
            <w:tcBorders>
              <w:bottom w:val="single" w:sz="4" w:space="0" w:color="auto"/>
            </w:tcBorders>
          </w:tcPr>
          <w:p w:rsidR="002C75DB" w:rsidRPr="005B6BA7" w:rsidRDefault="002C75DB" w:rsidP="002C75DB">
            <w:pPr>
              <w:jc w:val="center"/>
              <w:rPr>
                <w:rFonts w:ascii="Times New Roman" w:hAnsi="Times New Roman" w:cs="Times New Roman"/>
                <w:sz w:val="16"/>
              </w:rPr>
            </w:pPr>
            <w:r w:rsidRPr="005B6BA7">
              <w:rPr>
                <w:rFonts w:ascii="Times New Roman" w:hAnsi="Times New Roman" w:cs="Times New Roman"/>
                <w:sz w:val="16"/>
              </w:rPr>
              <w:t>C</w:t>
            </w:r>
            <w:r>
              <w:rPr>
                <w:rFonts w:ascii="Times New Roman" w:hAnsi="Times New Roman" w:cs="Times New Roman"/>
                <w:sz w:val="16"/>
              </w:rPr>
              <w:t xml:space="preserve">ash </w:t>
            </w:r>
            <w:r w:rsidRPr="005B6BA7">
              <w:rPr>
                <w:rFonts w:ascii="Times New Roman" w:hAnsi="Times New Roman" w:cs="Times New Roman"/>
                <w:sz w:val="16"/>
              </w:rPr>
              <w:t>F</w:t>
            </w:r>
            <w:r>
              <w:rPr>
                <w:rFonts w:ascii="Times New Roman" w:hAnsi="Times New Roman" w:cs="Times New Roman"/>
                <w:sz w:val="16"/>
              </w:rPr>
              <w:t>low</w:t>
            </w:r>
          </w:p>
        </w:tc>
        <w:tc>
          <w:tcPr>
            <w:tcW w:w="718" w:type="dxa"/>
            <w:tcBorders>
              <w:bottom w:val="single" w:sz="4" w:space="0" w:color="auto"/>
            </w:tcBorders>
          </w:tcPr>
          <w:p w:rsidR="002C75DB" w:rsidRPr="005B6BA7" w:rsidRDefault="002C75DB" w:rsidP="002C75DB">
            <w:pPr>
              <w:jc w:val="center"/>
              <w:rPr>
                <w:rFonts w:ascii="Times New Roman" w:hAnsi="Times New Roman" w:cs="Times New Roman"/>
                <w:sz w:val="16"/>
              </w:rPr>
            </w:pPr>
            <w:r>
              <w:rPr>
                <w:rFonts w:ascii="Times New Roman" w:hAnsi="Times New Roman" w:cs="Times New Roman"/>
                <w:sz w:val="16"/>
              </w:rPr>
              <w:t>Tobin’s q</w:t>
            </w:r>
          </w:p>
        </w:tc>
        <w:tc>
          <w:tcPr>
            <w:tcW w:w="1059" w:type="dxa"/>
            <w:tcBorders>
              <w:bottom w:val="single" w:sz="4" w:space="0" w:color="auto"/>
            </w:tcBorders>
            <w:vAlign w:val="center"/>
          </w:tcPr>
          <w:p w:rsidR="002C75DB" w:rsidRPr="00056731" w:rsidRDefault="002C75DB" w:rsidP="002C75DB">
            <w:pPr>
              <w:jc w:val="center"/>
              <w:rPr>
                <w:rFonts w:ascii="Times New Roman" w:hAnsi="Times New Roman" w:cs="Times New Roman"/>
                <w:sz w:val="16"/>
                <w:szCs w:val="16"/>
              </w:rPr>
            </w:pPr>
            <w:r>
              <w:rPr>
                <w:rFonts w:ascii="Times New Roman" w:hAnsi="Times New Roman" w:cs="Times New Roman"/>
                <w:sz w:val="16"/>
                <w:szCs w:val="16"/>
              </w:rPr>
              <w:t>Sales Growth</w:t>
            </w:r>
          </w:p>
        </w:tc>
        <w:tc>
          <w:tcPr>
            <w:tcW w:w="1260" w:type="dxa"/>
            <w:tcBorders>
              <w:bottom w:val="single" w:sz="4" w:space="0" w:color="auto"/>
            </w:tcBorders>
            <w:vAlign w:val="center"/>
          </w:tcPr>
          <w:p w:rsidR="002C75DB" w:rsidRPr="00056731" w:rsidRDefault="002C75DB" w:rsidP="002C75DB">
            <w:pPr>
              <w:jc w:val="center"/>
              <w:rPr>
                <w:rFonts w:ascii="Times New Roman" w:hAnsi="Times New Roman" w:cs="Times New Roman"/>
                <w:sz w:val="16"/>
                <w:szCs w:val="16"/>
              </w:rPr>
            </w:pPr>
            <w:r w:rsidRPr="00056731">
              <w:rPr>
                <w:rFonts w:ascii="Times New Roman" w:hAnsi="Times New Roman" w:cs="Times New Roman"/>
                <w:sz w:val="16"/>
                <w:szCs w:val="16"/>
              </w:rPr>
              <w:t>Change in Cash Holdings</w:t>
            </w:r>
          </w:p>
        </w:tc>
        <w:tc>
          <w:tcPr>
            <w:tcW w:w="812" w:type="dxa"/>
            <w:tcBorders>
              <w:bottom w:val="single" w:sz="4" w:space="0" w:color="auto"/>
            </w:tcBorders>
            <w:noWrap/>
            <w:vAlign w:val="center"/>
            <w:hideMark/>
          </w:tcPr>
          <w:p w:rsidR="002C75DB" w:rsidRPr="00056731" w:rsidRDefault="002C75DB" w:rsidP="002C75DB">
            <w:pPr>
              <w:jc w:val="center"/>
              <w:rPr>
                <w:rFonts w:ascii="Times New Roman" w:hAnsi="Times New Roman" w:cs="Times New Roman"/>
                <w:sz w:val="16"/>
                <w:szCs w:val="16"/>
              </w:rPr>
            </w:pPr>
            <w:r w:rsidRPr="00056731">
              <w:rPr>
                <w:rFonts w:ascii="Times New Roman" w:hAnsi="Times New Roman" w:cs="Times New Roman"/>
                <w:sz w:val="16"/>
                <w:szCs w:val="16"/>
              </w:rPr>
              <w:t>Leverage</w:t>
            </w:r>
          </w:p>
        </w:tc>
      </w:tr>
      <w:tr w:rsidR="002C75DB" w:rsidRPr="005B6BA7" w:rsidTr="002C75DB">
        <w:trPr>
          <w:trHeight w:val="300"/>
        </w:trPr>
        <w:tc>
          <w:tcPr>
            <w:tcW w:w="1080" w:type="dxa"/>
            <w:tcBorders>
              <w:top w:val="single" w:sz="4" w:space="0" w:color="auto"/>
            </w:tcBorders>
            <w:noWrap/>
            <w:vAlign w:val="center"/>
            <w:hideMark/>
          </w:tcPr>
          <w:p w:rsidR="002C75DB" w:rsidRPr="005B6BA7" w:rsidRDefault="002C75DB" w:rsidP="002C75DB">
            <w:pPr>
              <w:jc w:val="center"/>
              <w:rPr>
                <w:rFonts w:ascii="Times New Roman" w:hAnsi="Times New Roman" w:cs="Times New Roman"/>
                <w:sz w:val="16"/>
              </w:rPr>
            </w:pPr>
            <w:r>
              <w:rPr>
                <w:rFonts w:ascii="Times New Roman" w:hAnsi="Times New Roman" w:cs="Times New Roman"/>
                <w:sz w:val="16"/>
              </w:rPr>
              <w:t>Calendar Q</w:t>
            </w:r>
            <w:r w:rsidRPr="005B6BA7">
              <w:rPr>
                <w:rFonts w:ascii="Times New Roman" w:hAnsi="Times New Roman" w:cs="Times New Roman"/>
                <w:sz w:val="16"/>
              </w:rPr>
              <w:t>1</w:t>
            </w:r>
          </w:p>
        </w:tc>
        <w:tc>
          <w:tcPr>
            <w:tcW w:w="1114" w:type="dxa"/>
            <w:tcBorders>
              <w:top w:val="single" w:sz="4" w:space="0" w:color="auto"/>
            </w:tcBorders>
            <w:noWrap/>
            <w:vAlign w:val="center"/>
            <w:hideMark/>
          </w:tcPr>
          <w:p w:rsidR="002C75DB" w:rsidRPr="00056731" w:rsidRDefault="002C75DB" w:rsidP="002C75DB">
            <w:pPr>
              <w:jc w:val="center"/>
              <w:rPr>
                <w:rFonts w:ascii="Times New Roman" w:hAnsi="Times New Roman" w:cs="Times New Roman"/>
                <w:sz w:val="16"/>
                <w:szCs w:val="16"/>
              </w:rPr>
            </w:pPr>
            <w:r w:rsidRPr="00056731">
              <w:rPr>
                <w:rFonts w:ascii="Times New Roman" w:hAnsi="Times New Roman" w:cs="Times New Roman"/>
                <w:sz w:val="16"/>
                <w:szCs w:val="16"/>
              </w:rPr>
              <w:t>N</w:t>
            </w:r>
          </w:p>
        </w:tc>
        <w:tc>
          <w:tcPr>
            <w:tcW w:w="848" w:type="dxa"/>
            <w:tcBorders>
              <w:top w:val="single" w:sz="4" w:space="0" w:color="auto"/>
            </w:tcBorders>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17,351</w:t>
            </w:r>
          </w:p>
        </w:tc>
        <w:tc>
          <w:tcPr>
            <w:tcW w:w="1008" w:type="dxa"/>
            <w:tcBorders>
              <w:top w:val="single" w:sz="4" w:space="0" w:color="auto"/>
            </w:tcBorders>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17,346</w:t>
            </w:r>
          </w:p>
        </w:tc>
        <w:tc>
          <w:tcPr>
            <w:tcW w:w="855" w:type="dxa"/>
            <w:tcBorders>
              <w:top w:val="single" w:sz="4" w:space="0" w:color="auto"/>
            </w:tcBorders>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17,351</w:t>
            </w:r>
          </w:p>
        </w:tc>
        <w:tc>
          <w:tcPr>
            <w:tcW w:w="718" w:type="dxa"/>
            <w:tcBorders>
              <w:top w:val="single" w:sz="4" w:space="0" w:color="auto"/>
            </w:tcBorders>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17,351</w:t>
            </w:r>
          </w:p>
        </w:tc>
        <w:tc>
          <w:tcPr>
            <w:tcW w:w="1059" w:type="dxa"/>
            <w:tcBorders>
              <w:top w:val="single" w:sz="4" w:space="0" w:color="auto"/>
            </w:tcBorders>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16,846</w:t>
            </w:r>
          </w:p>
        </w:tc>
        <w:tc>
          <w:tcPr>
            <w:tcW w:w="1260" w:type="dxa"/>
            <w:tcBorders>
              <w:top w:val="single" w:sz="4" w:space="0" w:color="auto"/>
            </w:tcBorders>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17,263</w:t>
            </w:r>
          </w:p>
        </w:tc>
        <w:tc>
          <w:tcPr>
            <w:tcW w:w="812" w:type="dxa"/>
            <w:tcBorders>
              <w:top w:val="single" w:sz="4" w:space="0" w:color="auto"/>
            </w:tcBorders>
            <w:noWrap/>
            <w:hideMark/>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15,768</w:t>
            </w:r>
          </w:p>
        </w:tc>
      </w:tr>
      <w:tr w:rsidR="002C75DB" w:rsidRPr="005B6BA7" w:rsidTr="002C75DB">
        <w:trPr>
          <w:trHeight w:val="300"/>
        </w:trPr>
        <w:tc>
          <w:tcPr>
            <w:tcW w:w="1080" w:type="dxa"/>
            <w:noWrap/>
            <w:vAlign w:val="center"/>
            <w:hideMark/>
          </w:tcPr>
          <w:p w:rsidR="002C75DB" w:rsidRPr="005B6BA7" w:rsidRDefault="002C75DB" w:rsidP="002C75DB">
            <w:pPr>
              <w:jc w:val="center"/>
              <w:rPr>
                <w:rFonts w:ascii="Times New Roman" w:hAnsi="Times New Roman" w:cs="Times New Roman"/>
                <w:sz w:val="16"/>
              </w:rPr>
            </w:pPr>
          </w:p>
        </w:tc>
        <w:tc>
          <w:tcPr>
            <w:tcW w:w="1114" w:type="dxa"/>
            <w:noWrap/>
            <w:vAlign w:val="center"/>
            <w:hideMark/>
          </w:tcPr>
          <w:p w:rsidR="002C75DB" w:rsidRPr="00056731" w:rsidRDefault="002C75DB" w:rsidP="002C75DB">
            <w:pPr>
              <w:jc w:val="center"/>
              <w:rPr>
                <w:rFonts w:ascii="Times New Roman" w:hAnsi="Times New Roman" w:cs="Times New Roman"/>
                <w:sz w:val="16"/>
                <w:szCs w:val="16"/>
              </w:rPr>
            </w:pPr>
            <w:r w:rsidRPr="00056731">
              <w:rPr>
                <w:rFonts w:ascii="Times New Roman" w:hAnsi="Times New Roman" w:cs="Times New Roman"/>
                <w:sz w:val="16"/>
                <w:szCs w:val="16"/>
              </w:rPr>
              <w:t>Mean</w:t>
            </w:r>
          </w:p>
        </w:tc>
        <w:tc>
          <w:tcPr>
            <w:tcW w:w="84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1.287</w:t>
            </w:r>
          </w:p>
        </w:tc>
        <w:tc>
          <w:tcPr>
            <w:tcW w:w="100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6.857</w:t>
            </w:r>
          </w:p>
        </w:tc>
        <w:tc>
          <w:tcPr>
            <w:tcW w:w="855"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0.0139</w:t>
            </w:r>
          </w:p>
        </w:tc>
        <w:tc>
          <w:tcPr>
            <w:tcW w:w="71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1.8</w:t>
            </w:r>
          </w:p>
        </w:tc>
        <w:tc>
          <w:tcPr>
            <w:tcW w:w="1059"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0.0181</w:t>
            </w:r>
          </w:p>
        </w:tc>
        <w:tc>
          <w:tcPr>
            <w:tcW w:w="1260" w:type="dxa"/>
          </w:tcPr>
          <w:p w:rsidR="002C75DB" w:rsidRPr="003D2808" w:rsidRDefault="002C75DB" w:rsidP="00917157">
            <w:pPr>
              <w:contextualSpacing/>
              <w:jc w:val="center"/>
              <w:rPr>
                <w:rFonts w:ascii="Times New Roman" w:hAnsi="Times New Roman" w:cs="Times New Roman"/>
                <w:sz w:val="16"/>
                <w:szCs w:val="16"/>
              </w:rPr>
            </w:pPr>
            <w:r w:rsidRPr="003D2808">
              <w:rPr>
                <w:rFonts w:ascii="Times New Roman" w:hAnsi="Times New Roman" w:cs="Times New Roman"/>
                <w:sz w:val="16"/>
                <w:szCs w:val="16"/>
              </w:rPr>
              <w:t>-0.000</w:t>
            </w:r>
            <w:r w:rsidR="00917157">
              <w:rPr>
                <w:rFonts w:ascii="Times New Roman" w:hAnsi="Times New Roman" w:cs="Times New Roman"/>
                <w:sz w:val="16"/>
                <w:szCs w:val="16"/>
              </w:rPr>
              <w:t>3</w:t>
            </w:r>
          </w:p>
        </w:tc>
        <w:tc>
          <w:tcPr>
            <w:tcW w:w="812" w:type="dxa"/>
            <w:noWrap/>
            <w:hideMark/>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0.173</w:t>
            </w:r>
          </w:p>
        </w:tc>
      </w:tr>
      <w:tr w:rsidR="002C75DB" w:rsidRPr="005B6BA7" w:rsidTr="002C75DB">
        <w:trPr>
          <w:trHeight w:val="300"/>
        </w:trPr>
        <w:tc>
          <w:tcPr>
            <w:tcW w:w="1080" w:type="dxa"/>
            <w:noWrap/>
            <w:vAlign w:val="center"/>
            <w:hideMark/>
          </w:tcPr>
          <w:p w:rsidR="002C75DB" w:rsidRPr="005B6BA7" w:rsidRDefault="002C75DB" w:rsidP="002C75DB">
            <w:pPr>
              <w:jc w:val="center"/>
              <w:rPr>
                <w:rFonts w:ascii="Times New Roman" w:hAnsi="Times New Roman" w:cs="Times New Roman"/>
                <w:sz w:val="16"/>
              </w:rPr>
            </w:pPr>
          </w:p>
        </w:tc>
        <w:tc>
          <w:tcPr>
            <w:tcW w:w="1114" w:type="dxa"/>
            <w:noWrap/>
            <w:vAlign w:val="center"/>
            <w:hideMark/>
          </w:tcPr>
          <w:p w:rsidR="002C75DB" w:rsidRPr="00056731" w:rsidRDefault="002C75DB" w:rsidP="002C75DB">
            <w:pPr>
              <w:jc w:val="center"/>
              <w:rPr>
                <w:rFonts w:ascii="Times New Roman" w:hAnsi="Times New Roman" w:cs="Times New Roman"/>
                <w:sz w:val="16"/>
                <w:szCs w:val="16"/>
              </w:rPr>
            </w:pPr>
            <w:r w:rsidRPr="00056731">
              <w:rPr>
                <w:rFonts w:ascii="Times New Roman" w:hAnsi="Times New Roman" w:cs="Times New Roman"/>
                <w:sz w:val="16"/>
                <w:szCs w:val="16"/>
              </w:rPr>
              <w:t>Median</w:t>
            </w:r>
          </w:p>
        </w:tc>
        <w:tc>
          <w:tcPr>
            <w:tcW w:w="84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0.755</w:t>
            </w:r>
          </w:p>
        </w:tc>
        <w:tc>
          <w:tcPr>
            <w:tcW w:w="100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4.605</w:t>
            </w:r>
          </w:p>
        </w:tc>
        <w:tc>
          <w:tcPr>
            <w:tcW w:w="855"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0.0207</w:t>
            </w:r>
          </w:p>
        </w:tc>
        <w:tc>
          <w:tcPr>
            <w:tcW w:w="71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1.39</w:t>
            </w:r>
          </w:p>
        </w:tc>
        <w:tc>
          <w:tcPr>
            <w:tcW w:w="1059"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w:t>
            </w:r>
          </w:p>
        </w:tc>
        <w:tc>
          <w:tcPr>
            <w:tcW w:w="1260"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w:t>
            </w:r>
          </w:p>
        </w:tc>
        <w:tc>
          <w:tcPr>
            <w:tcW w:w="812" w:type="dxa"/>
            <w:noWrap/>
            <w:hideMark/>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0.147</w:t>
            </w:r>
          </w:p>
        </w:tc>
      </w:tr>
      <w:tr w:rsidR="002C75DB" w:rsidRPr="005B6BA7" w:rsidTr="002C75DB">
        <w:trPr>
          <w:trHeight w:val="300"/>
        </w:trPr>
        <w:tc>
          <w:tcPr>
            <w:tcW w:w="1080" w:type="dxa"/>
            <w:noWrap/>
            <w:vAlign w:val="center"/>
            <w:hideMark/>
          </w:tcPr>
          <w:p w:rsidR="002C75DB" w:rsidRPr="005B6BA7" w:rsidRDefault="002C75DB" w:rsidP="002C75DB">
            <w:pPr>
              <w:jc w:val="center"/>
              <w:rPr>
                <w:rFonts w:ascii="Times New Roman" w:hAnsi="Times New Roman" w:cs="Times New Roman"/>
                <w:sz w:val="16"/>
              </w:rPr>
            </w:pPr>
            <w:r>
              <w:rPr>
                <w:rFonts w:ascii="Times New Roman" w:hAnsi="Times New Roman" w:cs="Times New Roman"/>
                <w:sz w:val="16"/>
              </w:rPr>
              <w:t>Calendar Q</w:t>
            </w:r>
            <w:r w:rsidRPr="005B6BA7">
              <w:rPr>
                <w:rFonts w:ascii="Times New Roman" w:hAnsi="Times New Roman" w:cs="Times New Roman"/>
                <w:sz w:val="16"/>
              </w:rPr>
              <w:t>2</w:t>
            </w:r>
          </w:p>
        </w:tc>
        <w:tc>
          <w:tcPr>
            <w:tcW w:w="1114" w:type="dxa"/>
            <w:noWrap/>
            <w:vAlign w:val="center"/>
            <w:hideMark/>
          </w:tcPr>
          <w:p w:rsidR="002C75DB" w:rsidRPr="00056731" w:rsidRDefault="002C75DB" w:rsidP="002C75DB">
            <w:pPr>
              <w:jc w:val="center"/>
              <w:rPr>
                <w:rFonts w:ascii="Times New Roman" w:hAnsi="Times New Roman" w:cs="Times New Roman"/>
                <w:sz w:val="16"/>
                <w:szCs w:val="16"/>
              </w:rPr>
            </w:pPr>
            <w:r w:rsidRPr="00056731">
              <w:rPr>
                <w:rFonts w:ascii="Times New Roman" w:hAnsi="Times New Roman" w:cs="Times New Roman"/>
                <w:sz w:val="16"/>
                <w:szCs w:val="16"/>
              </w:rPr>
              <w:t>N</w:t>
            </w:r>
          </w:p>
        </w:tc>
        <w:tc>
          <w:tcPr>
            <w:tcW w:w="84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17,361</w:t>
            </w:r>
          </w:p>
        </w:tc>
        <w:tc>
          <w:tcPr>
            <w:tcW w:w="100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17,344</w:t>
            </w:r>
          </w:p>
        </w:tc>
        <w:tc>
          <w:tcPr>
            <w:tcW w:w="855"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17,361</w:t>
            </w:r>
          </w:p>
        </w:tc>
        <w:tc>
          <w:tcPr>
            <w:tcW w:w="71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17,361</w:t>
            </w:r>
          </w:p>
        </w:tc>
        <w:tc>
          <w:tcPr>
            <w:tcW w:w="1059"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16,851</w:t>
            </w:r>
          </w:p>
        </w:tc>
        <w:tc>
          <w:tcPr>
            <w:tcW w:w="1260"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17,276</w:t>
            </w:r>
          </w:p>
        </w:tc>
        <w:tc>
          <w:tcPr>
            <w:tcW w:w="812" w:type="dxa"/>
            <w:noWrap/>
            <w:hideMark/>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15,757</w:t>
            </w:r>
          </w:p>
        </w:tc>
      </w:tr>
      <w:tr w:rsidR="002C75DB" w:rsidRPr="005B6BA7" w:rsidTr="002C75DB">
        <w:trPr>
          <w:trHeight w:val="300"/>
        </w:trPr>
        <w:tc>
          <w:tcPr>
            <w:tcW w:w="1080" w:type="dxa"/>
            <w:noWrap/>
            <w:vAlign w:val="center"/>
            <w:hideMark/>
          </w:tcPr>
          <w:p w:rsidR="002C75DB" w:rsidRPr="005B6BA7" w:rsidRDefault="002C75DB" w:rsidP="002C75DB">
            <w:pPr>
              <w:jc w:val="center"/>
              <w:rPr>
                <w:rFonts w:ascii="Times New Roman" w:hAnsi="Times New Roman" w:cs="Times New Roman"/>
                <w:sz w:val="16"/>
              </w:rPr>
            </w:pPr>
          </w:p>
        </w:tc>
        <w:tc>
          <w:tcPr>
            <w:tcW w:w="1114" w:type="dxa"/>
            <w:noWrap/>
            <w:vAlign w:val="center"/>
            <w:hideMark/>
          </w:tcPr>
          <w:p w:rsidR="002C75DB" w:rsidRPr="00056731" w:rsidRDefault="002C75DB" w:rsidP="002C75DB">
            <w:pPr>
              <w:jc w:val="center"/>
              <w:rPr>
                <w:rFonts w:ascii="Times New Roman" w:hAnsi="Times New Roman" w:cs="Times New Roman"/>
                <w:sz w:val="16"/>
                <w:szCs w:val="16"/>
              </w:rPr>
            </w:pPr>
            <w:r w:rsidRPr="00056731">
              <w:rPr>
                <w:rFonts w:ascii="Times New Roman" w:hAnsi="Times New Roman" w:cs="Times New Roman"/>
                <w:sz w:val="16"/>
                <w:szCs w:val="16"/>
              </w:rPr>
              <w:t>Mean</w:t>
            </w:r>
          </w:p>
        </w:tc>
        <w:tc>
          <w:tcPr>
            <w:tcW w:w="84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1.317</w:t>
            </w:r>
          </w:p>
        </w:tc>
        <w:tc>
          <w:tcPr>
            <w:tcW w:w="100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7.016</w:t>
            </w:r>
          </w:p>
        </w:tc>
        <w:tc>
          <w:tcPr>
            <w:tcW w:w="855"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0.0147</w:t>
            </w:r>
          </w:p>
        </w:tc>
        <w:tc>
          <w:tcPr>
            <w:tcW w:w="71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1.793</w:t>
            </w:r>
          </w:p>
        </w:tc>
        <w:tc>
          <w:tcPr>
            <w:tcW w:w="1059"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0.0428</w:t>
            </w:r>
          </w:p>
        </w:tc>
        <w:tc>
          <w:tcPr>
            <w:tcW w:w="1260" w:type="dxa"/>
          </w:tcPr>
          <w:p w:rsidR="002C75DB" w:rsidRPr="003D2808" w:rsidRDefault="002C75DB" w:rsidP="00917157">
            <w:pPr>
              <w:contextualSpacing/>
              <w:jc w:val="center"/>
              <w:rPr>
                <w:rFonts w:ascii="Times New Roman" w:hAnsi="Times New Roman" w:cs="Times New Roman"/>
                <w:sz w:val="16"/>
                <w:szCs w:val="16"/>
              </w:rPr>
            </w:pPr>
            <w:r w:rsidRPr="003D2808">
              <w:rPr>
                <w:rFonts w:ascii="Times New Roman" w:hAnsi="Times New Roman" w:cs="Times New Roman"/>
                <w:sz w:val="16"/>
                <w:szCs w:val="16"/>
              </w:rPr>
              <w:t>-0.0005</w:t>
            </w:r>
          </w:p>
        </w:tc>
        <w:tc>
          <w:tcPr>
            <w:tcW w:w="812" w:type="dxa"/>
            <w:noWrap/>
            <w:hideMark/>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0.172</w:t>
            </w:r>
          </w:p>
        </w:tc>
      </w:tr>
      <w:tr w:rsidR="002C75DB" w:rsidRPr="005B6BA7" w:rsidTr="002C75DB">
        <w:trPr>
          <w:trHeight w:val="300"/>
        </w:trPr>
        <w:tc>
          <w:tcPr>
            <w:tcW w:w="1080" w:type="dxa"/>
            <w:noWrap/>
            <w:vAlign w:val="center"/>
            <w:hideMark/>
          </w:tcPr>
          <w:p w:rsidR="002C75DB" w:rsidRPr="005B6BA7" w:rsidRDefault="002C75DB" w:rsidP="002C75DB">
            <w:pPr>
              <w:jc w:val="center"/>
              <w:rPr>
                <w:rFonts w:ascii="Times New Roman" w:hAnsi="Times New Roman" w:cs="Times New Roman"/>
                <w:sz w:val="16"/>
              </w:rPr>
            </w:pPr>
          </w:p>
        </w:tc>
        <w:tc>
          <w:tcPr>
            <w:tcW w:w="1114" w:type="dxa"/>
            <w:noWrap/>
            <w:vAlign w:val="center"/>
            <w:hideMark/>
          </w:tcPr>
          <w:p w:rsidR="002C75DB" w:rsidRPr="00056731" w:rsidRDefault="002C75DB" w:rsidP="002C75DB">
            <w:pPr>
              <w:jc w:val="center"/>
              <w:rPr>
                <w:rFonts w:ascii="Times New Roman" w:hAnsi="Times New Roman" w:cs="Times New Roman"/>
                <w:sz w:val="16"/>
                <w:szCs w:val="16"/>
              </w:rPr>
            </w:pPr>
            <w:r w:rsidRPr="00056731">
              <w:rPr>
                <w:rFonts w:ascii="Times New Roman" w:hAnsi="Times New Roman" w:cs="Times New Roman"/>
                <w:sz w:val="16"/>
                <w:szCs w:val="16"/>
              </w:rPr>
              <w:t>Median</w:t>
            </w:r>
          </w:p>
        </w:tc>
        <w:tc>
          <w:tcPr>
            <w:tcW w:w="84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0.779</w:t>
            </w:r>
          </w:p>
        </w:tc>
        <w:tc>
          <w:tcPr>
            <w:tcW w:w="100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4.746</w:t>
            </w:r>
          </w:p>
        </w:tc>
        <w:tc>
          <w:tcPr>
            <w:tcW w:w="855"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0.0214</w:t>
            </w:r>
          </w:p>
        </w:tc>
        <w:tc>
          <w:tcPr>
            <w:tcW w:w="71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1.402</w:t>
            </w:r>
          </w:p>
        </w:tc>
        <w:tc>
          <w:tcPr>
            <w:tcW w:w="1059"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w:t>
            </w:r>
          </w:p>
        </w:tc>
        <w:tc>
          <w:tcPr>
            <w:tcW w:w="1260"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w:t>
            </w:r>
          </w:p>
        </w:tc>
        <w:tc>
          <w:tcPr>
            <w:tcW w:w="812" w:type="dxa"/>
            <w:noWrap/>
            <w:hideMark/>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0.147</w:t>
            </w:r>
          </w:p>
        </w:tc>
      </w:tr>
      <w:tr w:rsidR="002C75DB" w:rsidRPr="005B6BA7" w:rsidTr="002C75DB">
        <w:trPr>
          <w:trHeight w:val="300"/>
        </w:trPr>
        <w:tc>
          <w:tcPr>
            <w:tcW w:w="1080" w:type="dxa"/>
            <w:noWrap/>
            <w:vAlign w:val="center"/>
            <w:hideMark/>
          </w:tcPr>
          <w:p w:rsidR="002C75DB" w:rsidRPr="005B6BA7" w:rsidRDefault="002C75DB" w:rsidP="002C75DB">
            <w:pPr>
              <w:jc w:val="center"/>
              <w:rPr>
                <w:rFonts w:ascii="Times New Roman" w:hAnsi="Times New Roman" w:cs="Times New Roman"/>
                <w:sz w:val="16"/>
              </w:rPr>
            </w:pPr>
            <w:r>
              <w:rPr>
                <w:rFonts w:ascii="Times New Roman" w:hAnsi="Times New Roman" w:cs="Times New Roman"/>
                <w:sz w:val="16"/>
              </w:rPr>
              <w:t>Calendar Q</w:t>
            </w:r>
            <w:r w:rsidRPr="005B6BA7">
              <w:rPr>
                <w:rFonts w:ascii="Times New Roman" w:hAnsi="Times New Roman" w:cs="Times New Roman"/>
                <w:sz w:val="16"/>
              </w:rPr>
              <w:t>3</w:t>
            </w:r>
          </w:p>
        </w:tc>
        <w:tc>
          <w:tcPr>
            <w:tcW w:w="1114" w:type="dxa"/>
            <w:noWrap/>
            <w:vAlign w:val="center"/>
            <w:hideMark/>
          </w:tcPr>
          <w:p w:rsidR="002C75DB" w:rsidRPr="00056731" w:rsidRDefault="002C75DB" w:rsidP="002C75DB">
            <w:pPr>
              <w:jc w:val="center"/>
              <w:rPr>
                <w:rFonts w:ascii="Times New Roman" w:hAnsi="Times New Roman" w:cs="Times New Roman"/>
                <w:sz w:val="16"/>
                <w:szCs w:val="16"/>
              </w:rPr>
            </w:pPr>
            <w:r w:rsidRPr="00056731">
              <w:rPr>
                <w:rFonts w:ascii="Times New Roman" w:hAnsi="Times New Roman" w:cs="Times New Roman"/>
                <w:sz w:val="16"/>
                <w:szCs w:val="16"/>
              </w:rPr>
              <w:t>N</w:t>
            </w:r>
          </w:p>
        </w:tc>
        <w:tc>
          <w:tcPr>
            <w:tcW w:w="84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17,361</w:t>
            </w:r>
          </w:p>
        </w:tc>
        <w:tc>
          <w:tcPr>
            <w:tcW w:w="100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17,347</w:t>
            </w:r>
          </w:p>
        </w:tc>
        <w:tc>
          <w:tcPr>
            <w:tcW w:w="855"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17,361</w:t>
            </w:r>
          </w:p>
        </w:tc>
        <w:tc>
          <w:tcPr>
            <w:tcW w:w="71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17,361</w:t>
            </w:r>
          </w:p>
        </w:tc>
        <w:tc>
          <w:tcPr>
            <w:tcW w:w="1059"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16,679</w:t>
            </w:r>
          </w:p>
        </w:tc>
        <w:tc>
          <w:tcPr>
            <w:tcW w:w="1260"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17,266</w:t>
            </w:r>
          </w:p>
        </w:tc>
        <w:tc>
          <w:tcPr>
            <w:tcW w:w="812" w:type="dxa"/>
            <w:noWrap/>
            <w:hideMark/>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15,734</w:t>
            </w:r>
          </w:p>
        </w:tc>
      </w:tr>
      <w:tr w:rsidR="002C75DB" w:rsidRPr="005B6BA7" w:rsidTr="002C75DB">
        <w:trPr>
          <w:trHeight w:val="300"/>
        </w:trPr>
        <w:tc>
          <w:tcPr>
            <w:tcW w:w="1080" w:type="dxa"/>
            <w:noWrap/>
            <w:vAlign w:val="center"/>
            <w:hideMark/>
          </w:tcPr>
          <w:p w:rsidR="002C75DB" w:rsidRPr="005B6BA7" w:rsidRDefault="002C75DB" w:rsidP="002C75DB">
            <w:pPr>
              <w:jc w:val="center"/>
              <w:rPr>
                <w:rFonts w:ascii="Times New Roman" w:hAnsi="Times New Roman" w:cs="Times New Roman"/>
                <w:sz w:val="16"/>
              </w:rPr>
            </w:pPr>
          </w:p>
        </w:tc>
        <w:tc>
          <w:tcPr>
            <w:tcW w:w="1114" w:type="dxa"/>
            <w:noWrap/>
            <w:vAlign w:val="center"/>
            <w:hideMark/>
          </w:tcPr>
          <w:p w:rsidR="002C75DB" w:rsidRPr="00056731" w:rsidRDefault="002C75DB" w:rsidP="002C75DB">
            <w:pPr>
              <w:jc w:val="center"/>
              <w:rPr>
                <w:rFonts w:ascii="Times New Roman" w:hAnsi="Times New Roman" w:cs="Times New Roman"/>
                <w:sz w:val="16"/>
                <w:szCs w:val="16"/>
              </w:rPr>
            </w:pPr>
            <w:r w:rsidRPr="00056731">
              <w:rPr>
                <w:rFonts w:ascii="Times New Roman" w:hAnsi="Times New Roman" w:cs="Times New Roman"/>
                <w:sz w:val="16"/>
                <w:szCs w:val="16"/>
              </w:rPr>
              <w:t>Mean</w:t>
            </w:r>
          </w:p>
        </w:tc>
        <w:tc>
          <w:tcPr>
            <w:tcW w:w="84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1.341</w:t>
            </w:r>
          </w:p>
        </w:tc>
        <w:tc>
          <w:tcPr>
            <w:tcW w:w="100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7.068</w:t>
            </w:r>
          </w:p>
        </w:tc>
        <w:tc>
          <w:tcPr>
            <w:tcW w:w="855"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0.0161</w:t>
            </w:r>
          </w:p>
        </w:tc>
        <w:tc>
          <w:tcPr>
            <w:tcW w:w="71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1.784</w:t>
            </w:r>
          </w:p>
        </w:tc>
        <w:tc>
          <w:tcPr>
            <w:tcW w:w="1059"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0.0527</w:t>
            </w:r>
          </w:p>
        </w:tc>
        <w:tc>
          <w:tcPr>
            <w:tcW w:w="1260" w:type="dxa"/>
          </w:tcPr>
          <w:p w:rsidR="002C75DB" w:rsidRPr="003D2808" w:rsidRDefault="002C75DB" w:rsidP="00917157">
            <w:pPr>
              <w:contextualSpacing/>
              <w:jc w:val="center"/>
              <w:rPr>
                <w:rFonts w:ascii="Times New Roman" w:hAnsi="Times New Roman" w:cs="Times New Roman"/>
                <w:sz w:val="16"/>
                <w:szCs w:val="16"/>
              </w:rPr>
            </w:pPr>
            <w:r w:rsidRPr="003D2808">
              <w:rPr>
                <w:rFonts w:ascii="Times New Roman" w:hAnsi="Times New Roman" w:cs="Times New Roman"/>
                <w:sz w:val="16"/>
                <w:szCs w:val="16"/>
              </w:rPr>
              <w:t>-0.0038</w:t>
            </w:r>
          </w:p>
        </w:tc>
        <w:tc>
          <w:tcPr>
            <w:tcW w:w="812" w:type="dxa"/>
            <w:noWrap/>
            <w:hideMark/>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0.174</w:t>
            </w:r>
          </w:p>
        </w:tc>
      </w:tr>
      <w:tr w:rsidR="002C75DB" w:rsidRPr="005B6BA7" w:rsidTr="002C75DB">
        <w:trPr>
          <w:trHeight w:val="300"/>
        </w:trPr>
        <w:tc>
          <w:tcPr>
            <w:tcW w:w="1080" w:type="dxa"/>
            <w:noWrap/>
            <w:vAlign w:val="center"/>
            <w:hideMark/>
          </w:tcPr>
          <w:p w:rsidR="002C75DB" w:rsidRPr="005B6BA7" w:rsidRDefault="002C75DB" w:rsidP="002C75DB">
            <w:pPr>
              <w:jc w:val="center"/>
              <w:rPr>
                <w:rFonts w:ascii="Times New Roman" w:hAnsi="Times New Roman" w:cs="Times New Roman"/>
                <w:sz w:val="16"/>
              </w:rPr>
            </w:pPr>
          </w:p>
        </w:tc>
        <w:tc>
          <w:tcPr>
            <w:tcW w:w="1114" w:type="dxa"/>
            <w:noWrap/>
            <w:vAlign w:val="center"/>
            <w:hideMark/>
          </w:tcPr>
          <w:p w:rsidR="002C75DB" w:rsidRPr="00056731" w:rsidRDefault="002C75DB" w:rsidP="002C75DB">
            <w:pPr>
              <w:jc w:val="center"/>
              <w:rPr>
                <w:rFonts w:ascii="Times New Roman" w:hAnsi="Times New Roman" w:cs="Times New Roman"/>
                <w:sz w:val="16"/>
                <w:szCs w:val="16"/>
              </w:rPr>
            </w:pPr>
            <w:r w:rsidRPr="00056731">
              <w:rPr>
                <w:rFonts w:ascii="Times New Roman" w:hAnsi="Times New Roman" w:cs="Times New Roman"/>
                <w:sz w:val="16"/>
                <w:szCs w:val="16"/>
              </w:rPr>
              <w:t>Median</w:t>
            </w:r>
          </w:p>
        </w:tc>
        <w:tc>
          <w:tcPr>
            <w:tcW w:w="84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0.779</w:t>
            </w:r>
          </w:p>
        </w:tc>
        <w:tc>
          <w:tcPr>
            <w:tcW w:w="100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4.73</w:t>
            </w:r>
          </w:p>
        </w:tc>
        <w:tc>
          <w:tcPr>
            <w:tcW w:w="855"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0.0217</w:t>
            </w:r>
          </w:p>
        </w:tc>
        <w:tc>
          <w:tcPr>
            <w:tcW w:w="71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1.404</w:t>
            </w:r>
          </w:p>
        </w:tc>
        <w:tc>
          <w:tcPr>
            <w:tcW w:w="1059"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0.00747</w:t>
            </w:r>
          </w:p>
        </w:tc>
        <w:tc>
          <w:tcPr>
            <w:tcW w:w="1260"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w:t>
            </w:r>
          </w:p>
        </w:tc>
        <w:tc>
          <w:tcPr>
            <w:tcW w:w="812" w:type="dxa"/>
            <w:noWrap/>
            <w:hideMark/>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0.149</w:t>
            </w:r>
          </w:p>
        </w:tc>
      </w:tr>
      <w:tr w:rsidR="002C75DB" w:rsidRPr="005B6BA7" w:rsidTr="002C75DB">
        <w:trPr>
          <w:trHeight w:val="300"/>
        </w:trPr>
        <w:tc>
          <w:tcPr>
            <w:tcW w:w="1080" w:type="dxa"/>
            <w:noWrap/>
            <w:vAlign w:val="center"/>
            <w:hideMark/>
          </w:tcPr>
          <w:p w:rsidR="002C75DB" w:rsidRPr="005B6BA7" w:rsidRDefault="002C75DB" w:rsidP="002C75DB">
            <w:pPr>
              <w:jc w:val="center"/>
              <w:rPr>
                <w:rFonts w:ascii="Times New Roman" w:hAnsi="Times New Roman" w:cs="Times New Roman"/>
                <w:sz w:val="16"/>
              </w:rPr>
            </w:pPr>
            <w:r>
              <w:rPr>
                <w:rFonts w:ascii="Times New Roman" w:hAnsi="Times New Roman" w:cs="Times New Roman"/>
                <w:sz w:val="16"/>
              </w:rPr>
              <w:t>Calendar Q4</w:t>
            </w:r>
          </w:p>
        </w:tc>
        <w:tc>
          <w:tcPr>
            <w:tcW w:w="1114" w:type="dxa"/>
            <w:noWrap/>
            <w:vAlign w:val="center"/>
            <w:hideMark/>
          </w:tcPr>
          <w:p w:rsidR="002C75DB" w:rsidRPr="00056731" w:rsidRDefault="002C75DB" w:rsidP="002C75DB">
            <w:pPr>
              <w:jc w:val="center"/>
              <w:rPr>
                <w:rFonts w:ascii="Times New Roman" w:hAnsi="Times New Roman" w:cs="Times New Roman"/>
                <w:sz w:val="16"/>
                <w:szCs w:val="16"/>
              </w:rPr>
            </w:pPr>
            <w:r w:rsidRPr="00056731">
              <w:rPr>
                <w:rFonts w:ascii="Times New Roman" w:hAnsi="Times New Roman" w:cs="Times New Roman"/>
                <w:sz w:val="16"/>
                <w:szCs w:val="16"/>
              </w:rPr>
              <w:t>N</w:t>
            </w:r>
          </w:p>
        </w:tc>
        <w:tc>
          <w:tcPr>
            <w:tcW w:w="84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17,360</w:t>
            </w:r>
          </w:p>
        </w:tc>
        <w:tc>
          <w:tcPr>
            <w:tcW w:w="100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17,348</w:t>
            </w:r>
          </w:p>
        </w:tc>
        <w:tc>
          <w:tcPr>
            <w:tcW w:w="855"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17,360</w:t>
            </w:r>
          </w:p>
        </w:tc>
        <w:tc>
          <w:tcPr>
            <w:tcW w:w="71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17,360</w:t>
            </w:r>
          </w:p>
        </w:tc>
        <w:tc>
          <w:tcPr>
            <w:tcW w:w="1059"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16,800</w:t>
            </w:r>
          </w:p>
        </w:tc>
        <w:tc>
          <w:tcPr>
            <w:tcW w:w="1260"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17,270</w:t>
            </w:r>
          </w:p>
        </w:tc>
        <w:tc>
          <w:tcPr>
            <w:tcW w:w="812" w:type="dxa"/>
            <w:noWrap/>
            <w:hideMark/>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15,715</w:t>
            </w:r>
          </w:p>
        </w:tc>
      </w:tr>
      <w:tr w:rsidR="002C75DB" w:rsidRPr="005B6BA7" w:rsidTr="002C75DB">
        <w:trPr>
          <w:trHeight w:val="300"/>
        </w:trPr>
        <w:tc>
          <w:tcPr>
            <w:tcW w:w="1080" w:type="dxa"/>
            <w:noWrap/>
            <w:vAlign w:val="center"/>
            <w:hideMark/>
          </w:tcPr>
          <w:p w:rsidR="002C75DB" w:rsidRPr="005B6BA7" w:rsidRDefault="002C75DB" w:rsidP="002C75DB">
            <w:pPr>
              <w:jc w:val="center"/>
              <w:rPr>
                <w:rFonts w:ascii="Times New Roman" w:hAnsi="Times New Roman" w:cs="Times New Roman"/>
                <w:sz w:val="16"/>
              </w:rPr>
            </w:pPr>
          </w:p>
        </w:tc>
        <w:tc>
          <w:tcPr>
            <w:tcW w:w="1114" w:type="dxa"/>
            <w:noWrap/>
            <w:vAlign w:val="center"/>
            <w:hideMark/>
          </w:tcPr>
          <w:p w:rsidR="002C75DB" w:rsidRPr="00056731" w:rsidRDefault="002C75DB" w:rsidP="002C75DB">
            <w:pPr>
              <w:jc w:val="center"/>
              <w:rPr>
                <w:rFonts w:ascii="Times New Roman" w:hAnsi="Times New Roman" w:cs="Times New Roman"/>
                <w:sz w:val="16"/>
                <w:szCs w:val="16"/>
              </w:rPr>
            </w:pPr>
            <w:r w:rsidRPr="00056731">
              <w:rPr>
                <w:rFonts w:ascii="Times New Roman" w:hAnsi="Times New Roman" w:cs="Times New Roman"/>
                <w:sz w:val="16"/>
                <w:szCs w:val="16"/>
              </w:rPr>
              <w:t>Mean</w:t>
            </w:r>
          </w:p>
        </w:tc>
        <w:tc>
          <w:tcPr>
            <w:tcW w:w="84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1.298</w:t>
            </w:r>
          </w:p>
        </w:tc>
        <w:tc>
          <w:tcPr>
            <w:tcW w:w="100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6.749</w:t>
            </w:r>
          </w:p>
        </w:tc>
        <w:tc>
          <w:tcPr>
            <w:tcW w:w="855"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0.0172</w:t>
            </w:r>
          </w:p>
        </w:tc>
        <w:tc>
          <w:tcPr>
            <w:tcW w:w="718"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1.803</w:t>
            </w:r>
          </w:p>
        </w:tc>
        <w:tc>
          <w:tcPr>
            <w:tcW w:w="1059" w:type="dxa"/>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0.049</w:t>
            </w:r>
          </w:p>
        </w:tc>
        <w:tc>
          <w:tcPr>
            <w:tcW w:w="1260" w:type="dxa"/>
          </w:tcPr>
          <w:p w:rsidR="002C75DB" w:rsidRPr="003D2808" w:rsidRDefault="002C75DB" w:rsidP="00917157">
            <w:pPr>
              <w:contextualSpacing/>
              <w:jc w:val="center"/>
              <w:rPr>
                <w:rFonts w:ascii="Times New Roman" w:hAnsi="Times New Roman" w:cs="Times New Roman"/>
                <w:sz w:val="16"/>
                <w:szCs w:val="16"/>
              </w:rPr>
            </w:pPr>
            <w:r w:rsidRPr="003D2808">
              <w:rPr>
                <w:rFonts w:ascii="Times New Roman" w:hAnsi="Times New Roman" w:cs="Times New Roman"/>
                <w:sz w:val="16"/>
                <w:szCs w:val="16"/>
              </w:rPr>
              <w:t>0.0009</w:t>
            </w:r>
          </w:p>
        </w:tc>
        <w:tc>
          <w:tcPr>
            <w:tcW w:w="812" w:type="dxa"/>
            <w:noWrap/>
            <w:hideMark/>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0.174</w:t>
            </w:r>
          </w:p>
        </w:tc>
      </w:tr>
      <w:tr w:rsidR="002C75DB" w:rsidRPr="005B6BA7" w:rsidTr="002C75DB">
        <w:trPr>
          <w:trHeight w:val="300"/>
        </w:trPr>
        <w:tc>
          <w:tcPr>
            <w:tcW w:w="1080" w:type="dxa"/>
            <w:tcBorders>
              <w:bottom w:val="double" w:sz="4" w:space="0" w:color="auto"/>
            </w:tcBorders>
            <w:noWrap/>
            <w:vAlign w:val="center"/>
            <w:hideMark/>
          </w:tcPr>
          <w:p w:rsidR="002C75DB" w:rsidRPr="005B6BA7" w:rsidRDefault="002C75DB" w:rsidP="002C75DB">
            <w:pPr>
              <w:jc w:val="center"/>
              <w:rPr>
                <w:rFonts w:ascii="Times New Roman" w:hAnsi="Times New Roman" w:cs="Times New Roman"/>
                <w:sz w:val="16"/>
              </w:rPr>
            </w:pPr>
          </w:p>
        </w:tc>
        <w:tc>
          <w:tcPr>
            <w:tcW w:w="1114" w:type="dxa"/>
            <w:tcBorders>
              <w:bottom w:val="double" w:sz="4" w:space="0" w:color="auto"/>
            </w:tcBorders>
            <w:noWrap/>
            <w:vAlign w:val="center"/>
            <w:hideMark/>
          </w:tcPr>
          <w:p w:rsidR="002C75DB" w:rsidRPr="00056731" w:rsidRDefault="002C75DB" w:rsidP="002C75DB">
            <w:pPr>
              <w:jc w:val="center"/>
              <w:rPr>
                <w:rFonts w:ascii="Times New Roman" w:hAnsi="Times New Roman" w:cs="Times New Roman"/>
                <w:sz w:val="16"/>
                <w:szCs w:val="16"/>
              </w:rPr>
            </w:pPr>
            <w:r w:rsidRPr="00056731">
              <w:rPr>
                <w:rFonts w:ascii="Times New Roman" w:hAnsi="Times New Roman" w:cs="Times New Roman"/>
                <w:sz w:val="16"/>
                <w:szCs w:val="16"/>
              </w:rPr>
              <w:t>Median</w:t>
            </w:r>
          </w:p>
        </w:tc>
        <w:tc>
          <w:tcPr>
            <w:tcW w:w="848" w:type="dxa"/>
            <w:tcBorders>
              <w:bottom w:val="double" w:sz="4" w:space="0" w:color="auto"/>
            </w:tcBorders>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0.763</w:t>
            </w:r>
          </w:p>
        </w:tc>
        <w:tc>
          <w:tcPr>
            <w:tcW w:w="1008" w:type="dxa"/>
            <w:tcBorders>
              <w:bottom w:val="double" w:sz="4" w:space="0" w:color="auto"/>
            </w:tcBorders>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4.654</w:t>
            </w:r>
          </w:p>
        </w:tc>
        <w:tc>
          <w:tcPr>
            <w:tcW w:w="855" w:type="dxa"/>
            <w:tcBorders>
              <w:bottom w:val="double" w:sz="4" w:space="0" w:color="auto"/>
            </w:tcBorders>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0.022</w:t>
            </w:r>
          </w:p>
        </w:tc>
        <w:tc>
          <w:tcPr>
            <w:tcW w:w="718" w:type="dxa"/>
            <w:tcBorders>
              <w:bottom w:val="double" w:sz="4" w:space="0" w:color="auto"/>
            </w:tcBorders>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1.396</w:t>
            </w:r>
          </w:p>
        </w:tc>
        <w:tc>
          <w:tcPr>
            <w:tcW w:w="1059" w:type="dxa"/>
            <w:tcBorders>
              <w:bottom w:val="double" w:sz="4" w:space="0" w:color="auto"/>
            </w:tcBorders>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w:t>
            </w:r>
          </w:p>
        </w:tc>
        <w:tc>
          <w:tcPr>
            <w:tcW w:w="1260" w:type="dxa"/>
            <w:tcBorders>
              <w:bottom w:val="double" w:sz="4" w:space="0" w:color="auto"/>
            </w:tcBorders>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w:t>
            </w:r>
          </w:p>
        </w:tc>
        <w:tc>
          <w:tcPr>
            <w:tcW w:w="812" w:type="dxa"/>
            <w:tcBorders>
              <w:bottom w:val="double" w:sz="4" w:space="0" w:color="auto"/>
            </w:tcBorders>
            <w:noWrap/>
            <w:hideMark/>
          </w:tcPr>
          <w:p w:rsidR="002C75DB" w:rsidRPr="003D2808" w:rsidRDefault="002C75DB" w:rsidP="002C75DB">
            <w:pPr>
              <w:contextualSpacing/>
              <w:jc w:val="center"/>
              <w:rPr>
                <w:rFonts w:ascii="Times New Roman" w:hAnsi="Times New Roman" w:cs="Times New Roman"/>
                <w:sz w:val="16"/>
                <w:szCs w:val="16"/>
              </w:rPr>
            </w:pPr>
            <w:r w:rsidRPr="003D2808">
              <w:rPr>
                <w:rFonts w:ascii="Times New Roman" w:hAnsi="Times New Roman" w:cs="Times New Roman"/>
                <w:sz w:val="16"/>
                <w:szCs w:val="16"/>
              </w:rPr>
              <w:t>0.148</w:t>
            </w:r>
          </w:p>
        </w:tc>
      </w:tr>
    </w:tbl>
    <w:p w:rsidR="00821BD4" w:rsidRPr="00EE1141" w:rsidRDefault="00821BD4" w:rsidP="005B6BA7">
      <w:pPr>
        <w:spacing w:after="0" w:line="240" w:lineRule="auto"/>
        <w:rPr>
          <w:rFonts w:ascii="Times New Roman" w:hAnsi="Times New Roman" w:cs="Times New Roman"/>
          <w:sz w:val="24"/>
        </w:rPr>
      </w:pPr>
    </w:p>
    <w:p w:rsidR="009F11C1" w:rsidRDefault="009F11C1">
      <w:pPr>
        <w:rPr>
          <w:rFonts w:ascii="Times New Roman" w:hAnsi="Times New Roman" w:cs="Times New Roman"/>
          <w:szCs w:val="16"/>
        </w:rPr>
      </w:pPr>
      <w:r>
        <w:rPr>
          <w:rFonts w:ascii="Times New Roman" w:hAnsi="Times New Roman" w:cs="Times New Roman"/>
          <w:szCs w:val="16"/>
        </w:rPr>
        <w:br w:type="page"/>
      </w:r>
    </w:p>
    <w:tbl>
      <w:tblPr>
        <w:tblStyle w:val="a3"/>
        <w:tblpPr w:leftFromText="180" w:rightFromText="180" w:vertAnchor="text" w:horzAnchor="margin" w:tblpXSpec="center" w:tblpY="4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114"/>
        <w:gridCol w:w="848"/>
        <w:gridCol w:w="1008"/>
        <w:gridCol w:w="855"/>
        <w:gridCol w:w="855"/>
        <w:gridCol w:w="900"/>
        <w:gridCol w:w="1204"/>
        <w:gridCol w:w="848"/>
        <w:gridCol w:w="7"/>
      </w:tblGrid>
      <w:tr w:rsidR="009F11C1" w:rsidRPr="005B6BA7" w:rsidTr="00F33A35">
        <w:trPr>
          <w:gridAfter w:val="1"/>
          <w:wAfter w:w="7" w:type="dxa"/>
          <w:trHeight w:val="300"/>
        </w:trPr>
        <w:tc>
          <w:tcPr>
            <w:tcW w:w="8640" w:type="dxa"/>
            <w:gridSpan w:val="9"/>
            <w:tcBorders>
              <w:top w:val="double" w:sz="4" w:space="0" w:color="auto"/>
            </w:tcBorders>
            <w:noWrap/>
            <w:vAlign w:val="center"/>
          </w:tcPr>
          <w:p w:rsidR="009F11C1" w:rsidRPr="005B6BA7" w:rsidRDefault="009F11C1" w:rsidP="00E530A7">
            <w:pPr>
              <w:widowControl w:val="0"/>
              <w:autoSpaceDE w:val="0"/>
              <w:autoSpaceDN w:val="0"/>
              <w:adjustRightInd w:val="0"/>
              <w:jc w:val="center"/>
              <w:rPr>
                <w:rFonts w:ascii="Times New Roman" w:hAnsi="Times New Roman" w:cs="Times New Roman"/>
                <w:sz w:val="18"/>
                <w:szCs w:val="24"/>
              </w:rPr>
            </w:pPr>
            <w:r w:rsidRPr="005B6BA7">
              <w:rPr>
                <w:rFonts w:ascii="Times New Roman" w:hAnsi="Times New Roman" w:cs="Times New Roman"/>
                <w:sz w:val="18"/>
                <w:szCs w:val="24"/>
              </w:rPr>
              <w:lastRenderedPageBreak/>
              <w:t xml:space="preserve">Panel </w:t>
            </w:r>
            <w:r>
              <w:rPr>
                <w:rFonts w:ascii="Times New Roman" w:hAnsi="Times New Roman" w:cs="Times New Roman"/>
                <w:sz w:val="18"/>
                <w:szCs w:val="24"/>
              </w:rPr>
              <w:t>C</w:t>
            </w:r>
            <w:r w:rsidRPr="005B6BA7">
              <w:rPr>
                <w:rFonts w:ascii="Times New Roman" w:hAnsi="Times New Roman" w:cs="Times New Roman"/>
                <w:sz w:val="18"/>
                <w:szCs w:val="24"/>
              </w:rPr>
              <w:t xml:space="preserve">: Firm </w:t>
            </w:r>
            <w:r w:rsidR="00E530A7">
              <w:rPr>
                <w:rFonts w:ascii="Times New Roman" w:hAnsi="Times New Roman" w:cs="Times New Roman"/>
                <w:sz w:val="18"/>
                <w:szCs w:val="24"/>
              </w:rPr>
              <w:t>V</w:t>
            </w:r>
            <w:r w:rsidRPr="005B6BA7">
              <w:rPr>
                <w:rFonts w:ascii="Times New Roman" w:hAnsi="Times New Roman" w:cs="Times New Roman"/>
                <w:sz w:val="18"/>
                <w:szCs w:val="24"/>
              </w:rPr>
              <w:t xml:space="preserve">ariable </w:t>
            </w:r>
            <w:r w:rsidR="00E530A7">
              <w:rPr>
                <w:rFonts w:ascii="Times New Roman" w:hAnsi="Times New Roman" w:cs="Times New Roman"/>
                <w:sz w:val="18"/>
                <w:szCs w:val="24"/>
              </w:rPr>
              <w:t>S</w:t>
            </w:r>
            <w:r w:rsidRPr="005B6BA7">
              <w:rPr>
                <w:rFonts w:ascii="Times New Roman" w:hAnsi="Times New Roman" w:cs="Times New Roman"/>
                <w:sz w:val="18"/>
                <w:szCs w:val="24"/>
              </w:rPr>
              <w:t xml:space="preserve">ummary </w:t>
            </w:r>
            <w:r w:rsidR="00E530A7">
              <w:rPr>
                <w:rFonts w:ascii="Times New Roman" w:hAnsi="Times New Roman" w:cs="Times New Roman"/>
                <w:sz w:val="18"/>
                <w:szCs w:val="24"/>
              </w:rPr>
              <w:t>S</w:t>
            </w:r>
            <w:r w:rsidRPr="005B6BA7">
              <w:rPr>
                <w:rFonts w:ascii="Times New Roman" w:hAnsi="Times New Roman" w:cs="Times New Roman"/>
                <w:sz w:val="18"/>
                <w:szCs w:val="24"/>
              </w:rPr>
              <w:t xml:space="preserve">tatistics by </w:t>
            </w:r>
            <w:r w:rsidR="00E530A7">
              <w:rPr>
                <w:rFonts w:ascii="Times New Roman" w:hAnsi="Times New Roman" w:cs="Times New Roman"/>
                <w:b/>
                <w:sz w:val="18"/>
                <w:szCs w:val="24"/>
              </w:rPr>
              <w:t>F</w:t>
            </w:r>
            <w:r w:rsidRPr="009F11C1">
              <w:rPr>
                <w:rFonts w:ascii="Times New Roman" w:hAnsi="Times New Roman" w:cs="Times New Roman"/>
                <w:b/>
                <w:sz w:val="18"/>
                <w:szCs w:val="24"/>
              </w:rPr>
              <w:t>iscal</w:t>
            </w:r>
            <w:r w:rsidRPr="005B6BA7">
              <w:rPr>
                <w:rFonts w:ascii="Times New Roman" w:hAnsi="Times New Roman" w:cs="Times New Roman"/>
                <w:sz w:val="18"/>
                <w:szCs w:val="24"/>
              </w:rPr>
              <w:t xml:space="preserve"> </w:t>
            </w:r>
            <w:r w:rsidR="00E530A7">
              <w:rPr>
                <w:rFonts w:ascii="Times New Roman" w:hAnsi="Times New Roman" w:cs="Times New Roman"/>
                <w:sz w:val="18"/>
                <w:szCs w:val="24"/>
              </w:rPr>
              <w:t>Q</w:t>
            </w:r>
            <w:r w:rsidRPr="005B6BA7">
              <w:rPr>
                <w:rFonts w:ascii="Times New Roman" w:hAnsi="Times New Roman" w:cs="Times New Roman"/>
                <w:sz w:val="18"/>
                <w:szCs w:val="24"/>
              </w:rPr>
              <w:t>uarter (</w:t>
            </w:r>
            <w:r w:rsidR="00E530A7">
              <w:rPr>
                <w:rFonts w:ascii="Times New Roman" w:hAnsi="Times New Roman" w:cs="Times New Roman"/>
                <w:sz w:val="18"/>
                <w:szCs w:val="24"/>
              </w:rPr>
              <w:t>Fiscal Year End ≠ Dec.</w:t>
            </w:r>
            <w:r w:rsidRPr="005B6BA7">
              <w:rPr>
                <w:rFonts w:ascii="Times New Roman" w:hAnsi="Times New Roman" w:cs="Times New Roman"/>
                <w:sz w:val="18"/>
                <w:szCs w:val="24"/>
              </w:rPr>
              <w:t>)</w:t>
            </w:r>
          </w:p>
        </w:tc>
      </w:tr>
      <w:tr w:rsidR="009F11C1" w:rsidRPr="005B6BA7" w:rsidTr="00056731">
        <w:trPr>
          <w:trHeight w:val="300"/>
        </w:trPr>
        <w:tc>
          <w:tcPr>
            <w:tcW w:w="1008" w:type="dxa"/>
            <w:tcBorders>
              <w:top w:val="single" w:sz="4" w:space="0" w:color="auto"/>
            </w:tcBorders>
            <w:noWrap/>
            <w:vAlign w:val="center"/>
          </w:tcPr>
          <w:p w:rsidR="009F11C1" w:rsidRPr="005B6BA7" w:rsidRDefault="009F11C1" w:rsidP="009F11C1">
            <w:pPr>
              <w:jc w:val="center"/>
              <w:rPr>
                <w:rFonts w:ascii="Times New Roman" w:hAnsi="Times New Roman" w:cs="Times New Roman"/>
                <w:sz w:val="16"/>
              </w:rPr>
            </w:pPr>
          </w:p>
        </w:tc>
        <w:tc>
          <w:tcPr>
            <w:tcW w:w="1114" w:type="dxa"/>
            <w:tcBorders>
              <w:top w:val="single" w:sz="4" w:space="0" w:color="auto"/>
            </w:tcBorders>
            <w:noWrap/>
            <w:vAlign w:val="center"/>
          </w:tcPr>
          <w:p w:rsidR="009F11C1" w:rsidRPr="005B6BA7" w:rsidRDefault="009F11C1" w:rsidP="009F11C1">
            <w:pPr>
              <w:widowControl w:val="0"/>
              <w:autoSpaceDE w:val="0"/>
              <w:autoSpaceDN w:val="0"/>
              <w:adjustRightInd w:val="0"/>
              <w:jc w:val="center"/>
              <w:rPr>
                <w:rFonts w:ascii="Times New Roman" w:hAnsi="Times New Roman" w:cs="Times New Roman"/>
                <w:sz w:val="16"/>
                <w:szCs w:val="24"/>
              </w:rPr>
            </w:pPr>
          </w:p>
        </w:tc>
        <w:tc>
          <w:tcPr>
            <w:tcW w:w="848" w:type="dxa"/>
            <w:tcBorders>
              <w:top w:val="single" w:sz="4" w:space="0" w:color="auto"/>
            </w:tcBorders>
            <w:vAlign w:val="center"/>
          </w:tcPr>
          <w:p w:rsidR="009F11C1" w:rsidRPr="005B6BA7" w:rsidRDefault="009F11C1" w:rsidP="009F11C1">
            <w:pPr>
              <w:widowControl w:val="0"/>
              <w:autoSpaceDE w:val="0"/>
              <w:autoSpaceDN w:val="0"/>
              <w:adjustRightInd w:val="0"/>
              <w:jc w:val="center"/>
              <w:rPr>
                <w:rFonts w:ascii="Times New Roman" w:hAnsi="Times New Roman" w:cs="Times New Roman"/>
                <w:sz w:val="16"/>
                <w:szCs w:val="24"/>
              </w:rPr>
            </w:pPr>
            <w:r w:rsidRPr="005B6BA7">
              <w:rPr>
                <w:rFonts w:ascii="Times New Roman" w:hAnsi="Times New Roman" w:cs="Times New Roman"/>
                <w:sz w:val="16"/>
                <w:szCs w:val="24"/>
              </w:rPr>
              <w:t>(1)</w:t>
            </w:r>
          </w:p>
        </w:tc>
        <w:tc>
          <w:tcPr>
            <w:tcW w:w="1008" w:type="dxa"/>
            <w:tcBorders>
              <w:top w:val="single" w:sz="4" w:space="0" w:color="auto"/>
            </w:tcBorders>
            <w:vAlign w:val="center"/>
          </w:tcPr>
          <w:p w:rsidR="009F11C1" w:rsidRPr="005B6BA7" w:rsidRDefault="009F11C1" w:rsidP="009F11C1">
            <w:pPr>
              <w:widowControl w:val="0"/>
              <w:autoSpaceDE w:val="0"/>
              <w:autoSpaceDN w:val="0"/>
              <w:adjustRightInd w:val="0"/>
              <w:jc w:val="center"/>
              <w:rPr>
                <w:rFonts w:ascii="Times New Roman" w:hAnsi="Times New Roman" w:cs="Times New Roman"/>
                <w:sz w:val="16"/>
                <w:szCs w:val="24"/>
              </w:rPr>
            </w:pPr>
            <w:r w:rsidRPr="005B6BA7">
              <w:rPr>
                <w:rFonts w:ascii="Times New Roman" w:hAnsi="Times New Roman" w:cs="Times New Roman"/>
                <w:sz w:val="16"/>
                <w:szCs w:val="24"/>
              </w:rPr>
              <w:t>(2)</w:t>
            </w:r>
          </w:p>
        </w:tc>
        <w:tc>
          <w:tcPr>
            <w:tcW w:w="855" w:type="dxa"/>
            <w:tcBorders>
              <w:top w:val="single" w:sz="4" w:space="0" w:color="auto"/>
            </w:tcBorders>
            <w:vAlign w:val="center"/>
          </w:tcPr>
          <w:p w:rsidR="009F11C1" w:rsidRPr="005B6BA7" w:rsidRDefault="009F11C1" w:rsidP="009F11C1">
            <w:pPr>
              <w:widowControl w:val="0"/>
              <w:autoSpaceDE w:val="0"/>
              <w:autoSpaceDN w:val="0"/>
              <w:adjustRightInd w:val="0"/>
              <w:jc w:val="center"/>
              <w:rPr>
                <w:rFonts w:ascii="Times New Roman" w:hAnsi="Times New Roman" w:cs="Times New Roman"/>
                <w:sz w:val="16"/>
                <w:szCs w:val="24"/>
              </w:rPr>
            </w:pPr>
            <w:r w:rsidRPr="005B6BA7">
              <w:rPr>
                <w:rFonts w:ascii="Times New Roman" w:hAnsi="Times New Roman" w:cs="Times New Roman"/>
                <w:sz w:val="16"/>
                <w:szCs w:val="24"/>
              </w:rPr>
              <w:t>(3)</w:t>
            </w:r>
          </w:p>
        </w:tc>
        <w:tc>
          <w:tcPr>
            <w:tcW w:w="855" w:type="dxa"/>
            <w:tcBorders>
              <w:top w:val="single" w:sz="4" w:space="0" w:color="auto"/>
            </w:tcBorders>
            <w:vAlign w:val="center"/>
          </w:tcPr>
          <w:p w:rsidR="009F11C1" w:rsidRPr="005B6BA7" w:rsidRDefault="009F11C1" w:rsidP="009F11C1">
            <w:pPr>
              <w:widowControl w:val="0"/>
              <w:autoSpaceDE w:val="0"/>
              <w:autoSpaceDN w:val="0"/>
              <w:adjustRightInd w:val="0"/>
              <w:jc w:val="center"/>
              <w:rPr>
                <w:rFonts w:ascii="Times New Roman" w:hAnsi="Times New Roman" w:cs="Times New Roman"/>
                <w:sz w:val="16"/>
                <w:szCs w:val="24"/>
              </w:rPr>
            </w:pPr>
            <w:r w:rsidRPr="005B6BA7">
              <w:rPr>
                <w:rFonts w:ascii="Times New Roman" w:hAnsi="Times New Roman" w:cs="Times New Roman"/>
                <w:sz w:val="16"/>
                <w:szCs w:val="24"/>
              </w:rPr>
              <w:t>(4)</w:t>
            </w:r>
          </w:p>
        </w:tc>
        <w:tc>
          <w:tcPr>
            <w:tcW w:w="900" w:type="dxa"/>
            <w:tcBorders>
              <w:top w:val="single" w:sz="4" w:space="0" w:color="auto"/>
            </w:tcBorders>
            <w:vAlign w:val="center"/>
          </w:tcPr>
          <w:p w:rsidR="009F11C1" w:rsidRPr="005B6BA7" w:rsidRDefault="009F11C1" w:rsidP="009F11C1">
            <w:pPr>
              <w:widowControl w:val="0"/>
              <w:autoSpaceDE w:val="0"/>
              <w:autoSpaceDN w:val="0"/>
              <w:adjustRightInd w:val="0"/>
              <w:jc w:val="center"/>
              <w:rPr>
                <w:rFonts w:ascii="Times New Roman" w:hAnsi="Times New Roman" w:cs="Times New Roman"/>
                <w:sz w:val="16"/>
                <w:szCs w:val="24"/>
              </w:rPr>
            </w:pPr>
            <w:r w:rsidRPr="005B6BA7">
              <w:rPr>
                <w:rFonts w:ascii="Times New Roman" w:hAnsi="Times New Roman" w:cs="Times New Roman"/>
                <w:sz w:val="16"/>
                <w:szCs w:val="24"/>
              </w:rPr>
              <w:t>(5)</w:t>
            </w:r>
          </w:p>
        </w:tc>
        <w:tc>
          <w:tcPr>
            <w:tcW w:w="1204" w:type="dxa"/>
            <w:tcBorders>
              <w:top w:val="single" w:sz="4" w:space="0" w:color="auto"/>
            </w:tcBorders>
            <w:vAlign w:val="center"/>
          </w:tcPr>
          <w:p w:rsidR="009F11C1" w:rsidRPr="005B6BA7" w:rsidRDefault="009F11C1" w:rsidP="009F11C1">
            <w:pPr>
              <w:widowControl w:val="0"/>
              <w:autoSpaceDE w:val="0"/>
              <w:autoSpaceDN w:val="0"/>
              <w:adjustRightInd w:val="0"/>
              <w:jc w:val="center"/>
              <w:rPr>
                <w:rFonts w:ascii="Times New Roman" w:hAnsi="Times New Roman" w:cs="Times New Roman"/>
                <w:sz w:val="16"/>
                <w:szCs w:val="24"/>
              </w:rPr>
            </w:pPr>
            <w:r w:rsidRPr="005B6BA7">
              <w:rPr>
                <w:rFonts w:ascii="Times New Roman" w:hAnsi="Times New Roman" w:cs="Times New Roman"/>
                <w:sz w:val="16"/>
                <w:szCs w:val="24"/>
              </w:rPr>
              <w:t>(6)</w:t>
            </w:r>
          </w:p>
        </w:tc>
        <w:tc>
          <w:tcPr>
            <w:tcW w:w="855" w:type="dxa"/>
            <w:gridSpan w:val="2"/>
            <w:tcBorders>
              <w:top w:val="single" w:sz="4" w:space="0" w:color="auto"/>
            </w:tcBorders>
            <w:noWrap/>
            <w:vAlign w:val="center"/>
          </w:tcPr>
          <w:p w:rsidR="009F11C1" w:rsidRPr="005B6BA7" w:rsidRDefault="009F11C1" w:rsidP="009F11C1">
            <w:pPr>
              <w:widowControl w:val="0"/>
              <w:autoSpaceDE w:val="0"/>
              <w:autoSpaceDN w:val="0"/>
              <w:adjustRightInd w:val="0"/>
              <w:jc w:val="center"/>
              <w:rPr>
                <w:rFonts w:ascii="Times New Roman" w:hAnsi="Times New Roman" w:cs="Times New Roman"/>
                <w:sz w:val="16"/>
                <w:szCs w:val="24"/>
              </w:rPr>
            </w:pPr>
            <w:r w:rsidRPr="005B6BA7">
              <w:rPr>
                <w:rFonts w:ascii="Times New Roman" w:hAnsi="Times New Roman" w:cs="Times New Roman"/>
                <w:sz w:val="16"/>
                <w:szCs w:val="24"/>
              </w:rPr>
              <w:t>(7)</w:t>
            </w:r>
          </w:p>
        </w:tc>
      </w:tr>
      <w:tr w:rsidR="00934CB9" w:rsidRPr="005B6BA7" w:rsidTr="00934CB9">
        <w:trPr>
          <w:trHeight w:val="300"/>
        </w:trPr>
        <w:tc>
          <w:tcPr>
            <w:tcW w:w="1008" w:type="dxa"/>
            <w:tcBorders>
              <w:bottom w:val="single" w:sz="4" w:space="0" w:color="auto"/>
            </w:tcBorders>
            <w:noWrap/>
            <w:vAlign w:val="center"/>
            <w:hideMark/>
          </w:tcPr>
          <w:p w:rsidR="00934CB9" w:rsidRPr="005B6BA7" w:rsidRDefault="00934CB9" w:rsidP="00056731">
            <w:pPr>
              <w:jc w:val="center"/>
              <w:rPr>
                <w:rFonts w:ascii="Times New Roman" w:hAnsi="Times New Roman" w:cs="Times New Roman"/>
                <w:sz w:val="16"/>
              </w:rPr>
            </w:pPr>
          </w:p>
        </w:tc>
        <w:tc>
          <w:tcPr>
            <w:tcW w:w="1114" w:type="dxa"/>
            <w:tcBorders>
              <w:bottom w:val="single" w:sz="4" w:space="0" w:color="auto"/>
            </w:tcBorders>
            <w:noWrap/>
            <w:vAlign w:val="center"/>
            <w:hideMark/>
          </w:tcPr>
          <w:p w:rsidR="00934CB9" w:rsidRPr="005B6BA7" w:rsidRDefault="00572912" w:rsidP="00056731">
            <w:pPr>
              <w:jc w:val="center"/>
              <w:rPr>
                <w:rFonts w:ascii="Times New Roman" w:hAnsi="Times New Roman" w:cs="Times New Roman"/>
                <w:sz w:val="16"/>
              </w:rPr>
            </w:pPr>
            <w:r w:rsidRPr="00526653">
              <w:rPr>
                <w:rFonts w:ascii="Times New Roman" w:hAnsi="Times New Roman" w:cs="Times New Roman"/>
                <w:sz w:val="18"/>
                <w:szCs w:val="18"/>
              </w:rPr>
              <w:t>V</w:t>
            </w:r>
            <w:r>
              <w:rPr>
                <w:rFonts w:ascii="Times New Roman" w:hAnsi="Times New Roman" w:cs="Times New Roman"/>
                <w:sz w:val="18"/>
                <w:szCs w:val="18"/>
              </w:rPr>
              <w:t>ariables</w:t>
            </w:r>
          </w:p>
        </w:tc>
        <w:tc>
          <w:tcPr>
            <w:tcW w:w="848" w:type="dxa"/>
            <w:tcBorders>
              <w:bottom w:val="single" w:sz="4" w:space="0" w:color="auto"/>
            </w:tcBorders>
            <w:vAlign w:val="center"/>
          </w:tcPr>
          <w:p w:rsidR="00934CB9" w:rsidRPr="005B6BA7" w:rsidRDefault="00934CB9" w:rsidP="00056731">
            <w:pPr>
              <w:jc w:val="center"/>
              <w:rPr>
                <w:rFonts w:ascii="Times New Roman" w:hAnsi="Times New Roman" w:cs="Times New Roman"/>
                <w:sz w:val="16"/>
              </w:rPr>
            </w:pPr>
            <w:r w:rsidRPr="005B6BA7">
              <w:rPr>
                <w:rFonts w:ascii="Times New Roman" w:hAnsi="Times New Roman" w:cs="Times New Roman"/>
                <w:sz w:val="16"/>
              </w:rPr>
              <w:t>CapEx</w:t>
            </w:r>
          </w:p>
        </w:tc>
        <w:tc>
          <w:tcPr>
            <w:tcW w:w="1008" w:type="dxa"/>
            <w:tcBorders>
              <w:bottom w:val="single" w:sz="4" w:space="0" w:color="auto"/>
            </w:tcBorders>
            <w:vAlign w:val="center"/>
          </w:tcPr>
          <w:p w:rsidR="00934CB9" w:rsidRPr="005B6BA7" w:rsidRDefault="00934CB9" w:rsidP="00056731">
            <w:pPr>
              <w:jc w:val="center"/>
              <w:rPr>
                <w:rFonts w:ascii="Times New Roman" w:hAnsi="Times New Roman" w:cs="Times New Roman"/>
                <w:sz w:val="16"/>
              </w:rPr>
            </w:pPr>
            <w:r w:rsidRPr="005B6BA7">
              <w:rPr>
                <w:rFonts w:ascii="Times New Roman" w:hAnsi="Times New Roman" w:cs="Times New Roman"/>
                <w:sz w:val="16"/>
              </w:rPr>
              <w:t>CapEx_PPE</w:t>
            </w:r>
          </w:p>
        </w:tc>
        <w:tc>
          <w:tcPr>
            <w:tcW w:w="855" w:type="dxa"/>
            <w:tcBorders>
              <w:bottom w:val="single" w:sz="4" w:space="0" w:color="auto"/>
            </w:tcBorders>
          </w:tcPr>
          <w:p w:rsidR="00934CB9" w:rsidRPr="005B6BA7" w:rsidRDefault="00934CB9" w:rsidP="00056731">
            <w:pPr>
              <w:jc w:val="center"/>
              <w:rPr>
                <w:rFonts w:ascii="Times New Roman" w:hAnsi="Times New Roman" w:cs="Times New Roman"/>
                <w:sz w:val="16"/>
              </w:rPr>
            </w:pPr>
            <w:r w:rsidRPr="005B6BA7">
              <w:rPr>
                <w:rFonts w:ascii="Times New Roman" w:hAnsi="Times New Roman" w:cs="Times New Roman"/>
                <w:sz w:val="16"/>
              </w:rPr>
              <w:t>C</w:t>
            </w:r>
            <w:r>
              <w:rPr>
                <w:rFonts w:ascii="Times New Roman" w:hAnsi="Times New Roman" w:cs="Times New Roman"/>
                <w:sz w:val="16"/>
              </w:rPr>
              <w:t xml:space="preserve">ash </w:t>
            </w:r>
            <w:r w:rsidRPr="005B6BA7">
              <w:rPr>
                <w:rFonts w:ascii="Times New Roman" w:hAnsi="Times New Roman" w:cs="Times New Roman"/>
                <w:sz w:val="16"/>
              </w:rPr>
              <w:t>F</w:t>
            </w:r>
            <w:r>
              <w:rPr>
                <w:rFonts w:ascii="Times New Roman" w:hAnsi="Times New Roman" w:cs="Times New Roman"/>
                <w:sz w:val="16"/>
              </w:rPr>
              <w:t>low</w:t>
            </w:r>
          </w:p>
        </w:tc>
        <w:tc>
          <w:tcPr>
            <w:tcW w:w="855" w:type="dxa"/>
            <w:tcBorders>
              <w:bottom w:val="single" w:sz="4" w:space="0" w:color="auto"/>
            </w:tcBorders>
            <w:vAlign w:val="center"/>
          </w:tcPr>
          <w:p w:rsidR="00934CB9" w:rsidRPr="005B6BA7" w:rsidRDefault="00934CB9" w:rsidP="00934CB9">
            <w:pPr>
              <w:jc w:val="center"/>
              <w:rPr>
                <w:rFonts w:ascii="Times New Roman" w:hAnsi="Times New Roman" w:cs="Times New Roman"/>
                <w:sz w:val="16"/>
              </w:rPr>
            </w:pPr>
            <w:r>
              <w:rPr>
                <w:rFonts w:ascii="Times New Roman" w:hAnsi="Times New Roman" w:cs="Times New Roman"/>
                <w:sz w:val="16"/>
              </w:rPr>
              <w:t>Tobin’s q</w:t>
            </w:r>
          </w:p>
        </w:tc>
        <w:tc>
          <w:tcPr>
            <w:tcW w:w="900" w:type="dxa"/>
            <w:tcBorders>
              <w:bottom w:val="single" w:sz="4" w:space="0" w:color="auto"/>
            </w:tcBorders>
            <w:vAlign w:val="center"/>
          </w:tcPr>
          <w:p w:rsidR="00934CB9" w:rsidRPr="00056731" w:rsidRDefault="00934CB9" w:rsidP="0085714E">
            <w:pPr>
              <w:jc w:val="center"/>
              <w:rPr>
                <w:rFonts w:ascii="Times New Roman" w:hAnsi="Times New Roman" w:cs="Times New Roman"/>
                <w:sz w:val="16"/>
                <w:szCs w:val="16"/>
              </w:rPr>
            </w:pPr>
            <w:r>
              <w:rPr>
                <w:rFonts w:ascii="Times New Roman" w:hAnsi="Times New Roman" w:cs="Times New Roman"/>
                <w:sz w:val="16"/>
                <w:szCs w:val="16"/>
              </w:rPr>
              <w:t>Sales Growth</w:t>
            </w:r>
          </w:p>
        </w:tc>
        <w:tc>
          <w:tcPr>
            <w:tcW w:w="1204" w:type="dxa"/>
            <w:tcBorders>
              <w:bottom w:val="single" w:sz="4" w:space="0" w:color="auto"/>
            </w:tcBorders>
            <w:vAlign w:val="center"/>
          </w:tcPr>
          <w:p w:rsidR="00934CB9" w:rsidRPr="00056731" w:rsidRDefault="00934CB9" w:rsidP="0085714E">
            <w:pPr>
              <w:jc w:val="center"/>
              <w:rPr>
                <w:rFonts w:ascii="Times New Roman" w:hAnsi="Times New Roman" w:cs="Times New Roman"/>
                <w:sz w:val="16"/>
                <w:szCs w:val="16"/>
              </w:rPr>
            </w:pPr>
            <w:r w:rsidRPr="00056731">
              <w:rPr>
                <w:rFonts w:ascii="Times New Roman" w:hAnsi="Times New Roman" w:cs="Times New Roman"/>
                <w:sz w:val="16"/>
                <w:szCs w:val="16"/>
              </w:rPr>
              <w:t>Change in Cash Holdings</w:t>
            </w:r>
          </w:p>
        </w:tc>
        <w:tc>
          <w:tcPr>
            <w:tcW w:w="855" w:type="dxa"/>
            <w:gridSpan w:val="2"/>
            <w:tcBorders>
              <w:bottom w:val="single" w:sz="4" w:space="0" w:color="auto"/>
            </w:tcBorders>
            <w:noWrap/>
            <w:vAlign w:val="center"/>
            <w:hideMark/>
          </w:tcPr>
          <w:p w:rsidR="00934CB9" w:rsidRPr="00056731" w:rsidRDefault="00934CB9" w:rsidP="0085714E">
            <w:pPr>
              <w:jc w:val="center"/>
              <w:rPr>
                <w:rFonts w:ascii="Times New Roman" w:hAnsi="Times New Roman" w:cs="Times New Roman"/>
                <w:sz w:val="16"/>
                <w:szCs w:val="16"/>
              </w:rPr>
            </w:pPr>
            <w:r w:rsidRPr="00056731">
              <w:rPr>
                <w:rFonts w:ascii="Times New Roman" w:hAnsi="Times New Roman" w:cs="Times New Roman"/>
                <w:sz w:val="16"/>
                <w:szCs w:val="16"/>
              </w:rPr>
              <w:t>Leverage</w:t>
            </w:r>
          </w:p>
        </w:tc>
      </w:tr>
      <w:tr w:rsidR="00934CB9" w:rsidRPr="005B6BA7" w:rsidTr="00934CB9">
        <w:trPr>
          <w:trHeight w:val="300"/>
        </w:trPr>
        <w:tc>
          <w:tcPr>
            <w:tcW w:w="1008" w:type="dxa"/>
            <w:tcBorders>
              <w:top w:val="single" w:sz="4" w:space="0" w:color="auto"/>
            </w:tcBorders>
            <w:noWrap/>
            <w:vAlign w:val="center"/>
            <w:hideMark/>
          </w:tcPr>
          <w:p w:rsidR="00934CB9" w:rsidRPr="005B6BA7" w:rsidRDefault="00934CB9" w:rsidP="001366A8">
            <w:pPr>
              <w:jc w:val="center"/>
              <w:rPr>
                <w:rFonts w:ascii="Times New Roman" w:hAnsi="Times New Roman" w:cs="Times New Roman"/>
                <w:sz w:val="16"/>
              </w:rPr>
            </w:pPr>
            <w:r>
              <w:rPr>
                <w:rFonts w:ascii="Times New Roman" w:hAnsi="Times New Roman" w:cs="Times New Roman"/>
                <w:sz w:val="16"/>
              </w:rPr>
              <w:t>Fiscal Q1</w:t>
            </w:r>
          </w:p>
        </w:tc>
        <w:tc>
          <w:tcPr>
            <w:tcW w:w="1114" w:type="dxa"/>
            <w:tcBorders>
              <w:top w:val="single" w:sz="4" w:space="0" w:color="auto"/>
            </w:tcBorders>
            <w:noWrap/>
            <w:vAlign w:val="center"/>
            <w:hideMark/>
          </w:tcPr>
          <w:p w:rsidR="00934CB9" w:rsidRPr="00056731" w:rsidRDefault="00934CB9" w:rsidP="001366A8">
            <w:pPr>
              <w:jc w:val="center"/>
              <w:rPr>
                <w:rFonts w:ascii="Times New Roman" w:hAnsi="Times New Roman" w:cs="Times New Roman"/>
                <w:sz w:val="16"/>
                <w:szCs w:val="16"/>
              </w:rPr>
            </w:pPr>
            <w:r w:rsidRPr="00056731">
              <w:rPr>
                <w:rFonts w:ascii="Times New Roman" w:hAnsi="Times New Roman" w:cs="Times New Roman"/>
                <w:sz w:val="16"/>
                <w:szCs w:val="16"/>
              </w:rPr>
              <w:t>N</w:t>
            </w:r>
          </w:p>
        </w:tc>
        <w:tc>
          <w:tcPr>
            <w:tcW w:w="848" w:type="dxa"/>
            <w:tcBorders>
              <w:top w:val="single" w:sz="4" w:space="0" w:color="auto"/>
            </w:tcBorders>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17,361</w:t>
            </w:r>
          </w:p>
        </w:tc>
        <w:tc>
          <w:tcPr>
            <w:tcW w:w="1008" w:type="dxa"/>
            <w:tcBorders>
              <w:top w:val="single" w:sz="4" w:space="0" w:color="auto"/>
            </w:tcBorders>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17,349</w:t>
            </w:r>
          </w:p>
        </w:tc>
        <w:tc>
          <w:tcPr>
            <w:tcW w:w="855" w:type="dxa"/>
            <w:tcBorders>
              <w:top w:val="single" w:sz="4" w:space="0" w:color="auto"/>
            </w:tcBorders>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17,361</w:t>
            </w:r>
          </w:p>
        </w:tc>
        <w:tc>
          <w:tcPr>
            <w:tcW w:w="855" w:type="dxa"/>
            <w:tcBorders>
              <w:top w:val="single" w:sz="4" w:space="0" w:color="auto"/>
            </w:tcBorders>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17,361</w:t>
            </w:r>
          </w:p>
        </w:tc>
        <w:tc>
          <w:tcPr>
            <w:tcW w:w="900" w:type="dxa"/>
            <w:tcBorders>
              <w:top w:val="single" w:sz="4" w:space="0" w:color="auto"/>
            </w:tcBorders>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16,545</w:t>
            </w:r>
          </w:p>
        </w:tc>
        <w:tc>
          <w:tcPr>
            <w:tcW w:w="1204" w:type="dxa"/>
            <w:tcBorders>
              <w:top w:val="single" w:sz="4" w:space="0" w:color="auto"/>
            </w:tcBorders>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17,254</w:t>
            </w:r>
          </w:p>
        </w:tc>
        <w:tc>
          <w:tcPr>
            <w:tcW w:w="855" w:type="dxa"/>
            <w:gridSpan w:val="2"/>
            <w:tcBorders>
              <w:top w:val="single" w:sz="4" w:space="0" w:color="auto"/>
            </w:tcBorders>
            <w:noWrap/>
            <w:vAlign w:val="center"/>
            <w:hideMark/>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15,695</w:t>
            </w:r>
          </w:p>
        </w:tc>
      </w:tr>
      <w:tr w:rsidR="00934CB9" w:rsidRPr="005B6BA7" w:rsidTr="00934CB9">
        <w:trPr>
          <w:trHeight w:val="300"/>
        </w:trPr>
        <w:tc>
          <w:tcPr>
            <w:tcW w:w="1008" w:type="dxa"/>
            <w:noWrap/>
            <w:vAlign w:val="center"/>
            <w:hideMark/>
          </w:tcPr>
          <w:p w:rsidR="00934CB9" w:rsidRPr="005B6BA7" w:rsidRDefault="00934CB9" w:rsidP="001366A8">
            <w:pPr>
              <w:jc w:val="center"/>
              <w:rPr>
                <w:rFonts w:ascii="Times New Roman" w:hAnsi="Times New Roman" w:cs="Times New Roman"/>
                <w:sz w:val="16"/>
              </w:rPr>
            </w:pPr>
          </w:p>
        </w:tc>
        <w:tc>
          <w:tcPr>
            <w:tcW w:w="1114" w:type="dxa"/>
            <w:noWrap/>
            <w:vAlign w:val="center"/>
            <w:hideMark/>
          </w:tcPr>
          <w:p w:rsidR="00934CB9" w:rsidRPr="00056731" w:rsidRDefault="00934CB9" w:rsidP="001366A8">
            <w:pPr>
              <w:jc w:val="center"/>
              <w:rPr>
                <w:rFonts w:ascii="Times New Roman" w:hAnsi="Times New Roman" w:cs="Times New Roman"/>
                <w:sz w:val="16"/>
                <w:szCs w:val="16"/>
              </w:rPr>
            </w:pPr>
            <w:r w:rsidRPr="00056731">
              <w:rPr>
                <w:rFonts w:ascii="Times New Roman" w:hAnsi="Times New Roman" w:cs="Times New Roman"/>
                <w:sz w:val="16"/>
                <w:szCs w:val="16"/>
              </w:rPr>
              <w:t>Mean</w:t>
            </w:r>
          </w:p>
        </w:tc>
        <w:tc>
          <w:tcPr>
            <w:tcW w:w="84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1.276</w:t>
            </w:r>
          </w:p>
        </w:tc>
        <w:tc>
          <w:tcPr>
            <w:tcW w:w="100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6.84</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0.0164</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1.775</w:t>
            </w:r>
          </w:p>
        </w:tc>
        <w:tc>
          <w:tcPr>
            <w:tcW w:w="900"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0.0173</w:t>
            </w:r>
          </w:p>
        </w:tc>
        <w:tc>
          <w:tcPr>
            <w:tcW w:w="1204"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-0.0079</w:t>
            </w:r>
          </w:p>
        </w:tc>
        <w:tc>
          <w:tcPr>
            <w:tcW w:w="855" w:type="dxa"/>
            <w:gridSpan w:val="2"/>
            <w:noWrap/>
            <w:vAlign w:val="center"/>
            <w:hideMark/>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0.175</w:t>
            </w:r>
          </w:p>
        </w:tc>
      </w:tr>
      <w:tr w:rsidR="00934CB9" w:rsidRPr="005B6BA7" w:rsidTr="00934CB9">
        <w:trPr>
          <w:trHeight w:val="300"/>
        </w:trPr>
        <w:tc>
          <w:tcPr>
            <w:tcW w:w="1008" w:type="dxa"/>
            <w:noWrap/>
            <w:vAlign w:val="center"/>
            <w:hideMark/>
          </w:tcPr>
          <w:p w:rsidR="00934CB9" w:rsidRPr="005B6BA7" w:rsidRDefault="00934CB9" w:rsidP="001366A8">
            <w:pPr>
              <w:jc w:val="center"/>
              <w:rPr>
                <w:rFonts w:ascii="Times New Roman" w:hAnsi="Times New Roman" w:cs="Times New Roman"/>
                <w:sz w:val="16"/>
              </w:rPr>
            </w:pPr>
          </w:p>
        </w:tc>
        <w:tc>
          <w:tcPr>
            <w:tcW w:w="1114" w:type="dxa"/>
            <w:noWrap/>
            <w:vAlign w:val="center"/>
            <w:hideMark/>
          </w:tcPr>
          <w:p w:rsidR="00934CB9" w:rsidRPr="00056731" w:rsidRDefault="00934CB9" w:rsidP="001366A8">
            <w:pPr>
              <w:jc w:val="center"/>
              <w:rPr>
                <w:rFonts w:ascii="Times New Roman" w:hAnsi="Times New Roman" w:cs="Times New Roman"/>
                <w:sz w:val="16"/>
                <w:szCs w:val="16"/>
              </w:rPr>
            </w:pPr>
            <w:r w:rsidRPr="00056731">
              <w:rPr>
                <w:rFonts w:ascii="Times New Roman" w:hAnsi="Times New Roman" w:cs="Times New Roman"/>
                <w:sz w:val="16"/>
                <w:szCs w:val="16"/>
              </w:rPr>
              <w:t>Median</w:t>
            </w:r>
          </w:p>
        </w:tc>
        <w:tc>
          <w:tcPr>
            <w:tcW w:w="84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0.722</w:t>
            </w:r>
          </w:p>
        </w:tc>
        <w:tc>
          <w:tcPr>
            <w:tcW w:w="100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4.379</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0.0207</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1.397</w:t>
            </w:r>
          </w:p>
        </w:tc>
        <w:tc>
          <w:tcPr>
            <w:tcW w:w="900" w:type="dxa"/>
            <w:vAlign w:val="center"/>
          </w:tcPr>
          <w:p w:rsidR="00934CB9" w:rsidRPr="00934CB9" w:rsidRDefault="00934CB9" w:rsidP="00917157">
            <w:pPr>
              <w:contextualSpacing/>
              <w:jc w:val="center"/>
              <w:rPr>
                <w:rFonts w:ascii="Times New Roman" w:hAnsi="Times New Roman" w:cs="Times New Roman"/>
                <w:sz w:val="16"/>
                <w:szCs w:val="16"/>
              </w:rPr>
            </w:pPr>
            <w:r w:rsidRPr="00934CB9">
              <w:rPr>
                <w:rFonts w:ascii="Times New Roman" w:hAnsi="Times New Roman" w:cs="Times New Roman"/>
                <w:sz w:val="16"/>
                <w:szCs w:val="16"/>
              </w:rPr>
              <w:t>-0.003</w:t>
            </w:r>
            <w:r w:rsidR="00917157">
              <w:rPr>
                <w:rFonts w:ascii="Times New Roman" w:hAnsi="Times New Roman" w:cs="Times New Roman"/>
                <w:sz w:val="16"/>
                <w:szCs w:val="16"/>
              </w:rPr>
              <w:t>3</w:t>
            </w:r>
          </w:p>
        </w:tc>
        <w:tc>
          <w:tcPr>
            <w:tcW w:w="1204"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-0.0034</w:t>
            </w:r>
          </w:p>
        </w:tc>
        <w:tc>
          <w:tcPr>
            <w:tcW w:w="855" w:type="dxa"/>
            <w:gridSpan w:val="2"/>
            <w:noWrap/>
            <w:vAlign w:val="center"/>
            <w:hideMark/>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0.15</w:t>
            </w:r>
          </w:p>
        </w:tc>
      </w:tr>
      <w:tr w:rsidR="00934CB9" w:rsidRPr="005B6BA7" w:rsidTr="00934CB9">
        <w:trPr>
          <w:trHeight w:val="300"/>
        </w:trPr>
        <w:tc>
          <w:tcPr>
            <w:tcW w:w="1008" w:type="dxa"/>
            <w:noWrap/>
            <w:vAlign w:val="center"/>
            <w:hideMark/>
          </w:tcPr>
          <w:p w:rsidR="00934CB9" w:rsidRPr="005B6BA7" w:rsidRDefault="00934CB9" w:rsidP="001366A8">
            <w:pPr>
              <w:jc w:val="center"/>
              <w:rPr>
                <w:rFonts w:ascii="Times New Roman" w:hAnsi="Times New Roman" w:cs="Times New Roman"/>
                <w:sz w:val="16"/>
              </w:rPr>
            </w:pPr>
            <w:r>
              <w:rPr>
                <w:rFonts w:ascii="Times New Roman" w:hAnsi="Times New Roman" w:cs="Times New Roman"/>
                <w:sz w:val="16"/>
              </w:rPr>
              <w:t>Fiscal Q</w:t>
            </w:r>
            <w:r w:rsidRPr="005B6BA7">
              <w:rPr>
                <w:rFonts w:ascii="Times New Roman" w:hAnsi="Times New Roman" w:cs="Times New Roman"/>
                <w:sz w:val="16"/>
              </w:rPr>
              <w:t>2</w:t>
            </w:r>
          </w:p>
        </w:tc>
        <w:tc>
          <w:tcPr>
            <w:tcW w:w="1114" w:type="dxa"/>
            <w:noWrap/>
            <w:vAlign w:val="center"/>
            <w:hideMark/>
          </w:tcPr>
          <w:p w:rsidR="00934CB9" w:rsidRPr="00056731" w:rsidRDefault="00934CB9" w:rsidP="001366A8">
            <w:pPr>
              <w:jc w:val="center"/>
              <w:rPr>
                <w:rFonts w:ascii="Times New Roman" w:hAnsi="Times New Roman" w:cs="Times New Roman"/>
                <w:sz w:val="16"/>
                <w:szCs w:val="16"/>
              </w:rPr>
            </w:pPr>
            <w:r w:rsidRPr="00056731">
              <w:rPr>
                <w:rFonts w:ascii="Times New Roman" w:hAnsi="Times New Roman" w:cs="Times New Roman"/>
                <w:sz w:val="16"/>
                <w:szCs w:val="16"/>
              </w:rPr>
              <w:t>N</w:t>
            </w:r>
          </w:p>
        </w:tc>
        <w:tc>
          <w:tcPr>
            <w:tcW w:w="84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17,361</w:t>
            </w:r>
          </w:p>
        </w:tc>
        <w:tc>
          <w:tcPr>
            <w:tcW w:w="100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17,349</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17,361</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17,361</w:t>
            </w:r>
          </w:p>
        </w:tc>
        <w:tc>
          <w:tcPr>
            <w:tcW w:w="900"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16,855</w:t>
            </w:r>
          </w:p>
        </w:tc>
        <w:tc>
          <w:tcPr>
            <w:tcW w:w="1204"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17,275</w:t>
            </w:r>
          </w:p>
        </w:tc>
        <w:tc>
          <w:tcPr>
            <w:tcW w:w="855" w:type="dxa"/>
            <w:gridSpan w:val="2"/>
            <w:noWrap/>
            <w:vAlign w:val="center"/>
            <w:hideMark/>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15,704</w:t>
            </w:r>
          </w:p>
        </w:tc>
      </w:tr>
      <w:tr w:rsidR="00934CB9" w:rsidRPr="005B6BA7" w:rsidTr="00934CB9">
        <w:trPr>
          <w:trHeight w:val="300"/>
        </w:trPr>
        <w:tc>
          <w:tcPr>
            <w:tcW w:w="1008" w:type="dxa"/>
            <w:noWrap/>
            <w:vAlign w:val="center"/>
            <w:hideMark/>
          </w:tcPr>
          <w:p w:rsidR="00934CB9" w:rsidRPr="005B6BA7" w:rsidRDefault="00934CB9" w:rsidP="001366A8">
            <w:pPr>
              <w:jc w:val="center"/>
              <w:rPr>
                <w:rFonts w:ascii="Times New Roman" w:hAnsi="Times New Roman" w:cs="Times New Roman"/>
                <w:sz w:val="16"/>
              </w:rPr>
            </w:pPr>
          </w:p>
        </w:tc>
        <w:tc>
          <w:tcPr>
            <w:tcW w:w="1114" w:type="dxa"/>
            <w:noWrap/>
            <w:vAlign w:val="center"/>
            <w:hideMark/>
          </w:tcPr>
          <w:p w:rsidR="00934CB9" w:rsidRPr="00056731" w:rsidRDefault="00934CB9" w:rsidP="001366A8">
            <w:pPr>
              <w:jc w:val="center"/>
              <w:rPr>
                <w:rFonts w:ascii="Times New Roman" w:hAnsi="Times New Roman" w:cs="Times New Roman"/>
                <w:sz w:val="16"/>
                <w:szCs w:val="16"/>
              </w:rPr>
            </w:pPr>
            <w:r w:rsidRPr="00056731">
              <w:rPr>
                <w:rFonts w:ascii="Times New Roman" w:hAnsi="Times New Roman" w:cs="Times New Roman"/>
                <w:sz w:val="16"/>
                <w:szCs w:val="16"/>
              </w:rPr>
              <w:t>Mean</w:t>
            </w:r>
          </w:p>
        </w:tc>
        <w:tc>
          <w:tcPr>
            <w:tcW w:w="84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1.284</w:t>
            </w:r>
          </w:p>
        </w:tc>
        <w:tc>
          <w:tcPr>
            <w:tcW w:w="100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6.633</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0.0165</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1.817</w:t>
            </w:r>
          </w:p>
        </w:tc>
        <w:tc>
          <w:tcPr>
            <w:tcW w:w="900"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0.0532</w:t>
            </w:r>
          </w:p>
        </w:tc>
        <w:tc>
          <w:tcPr>
            <w:tcW w:w="1204" w:type="dxa"/>
            <w:vAlign w:val="center"/>
          </w:tcPr>
          <w:p w:rsidR="00934CB9" w:rsidRPr="00934CB9" w:rsidRDefault="00934CB9" w:rsidP="00917157">
            <w:pPr>
              <w:contextualSpacing/>
              <w:jc w:val="center"/>
              <w:rPr>
                <w:rFonts w:ascii="Times New Roman" w:hAnsi="Times New Roman" w:cs="Times New Roman"/>
                <w:sz w:val="16"/>
                <w:szCs w:val="16"/>
              </w:rPr>
            </w:pPr>
            <w:r w:rsidRPr="00934CB9">
              <w:rPr>
                <w:rFonts w:ascii="Times New Roman" w:hAnsi="Times New Roman" w:cs="Times New Roman"/>
                <w:sz w:val="16"/>
                <w:szCs w:val="16"/>
              </w:rPr>
              <w:t>-0.002</w:t>
            </w:r>
            <w:r w:rsidR="00917157">
              <w:rPr>
                <w:rFonts w:ascii="Times New Roman" w:hAnsi="Times New Roman" w:cs="Times New Roman"/>
                <w:sz w:val="16"/>
                <w:szCs w:val="16"/>
              </w:rPr>
              <w:t>2</w:t>
            </w:r>
          </w:p>
        </w:tc>
        <w:tc>
          <w:tcPr>
            <w:tcW w:w="855" w:type="dxa"/>
            <w:gridSpan w:val="2"/>
            <w:noWrap/>
            <w:vAlign w:val="center"/>
            <w:hideMark/>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0.176</w:t>
            </w:r>
          </w:p>
        </w:tc>
      </w:tr>
      <w:tr w:rsidR="00934CB9" w:rsidRPr="005B6BA7" w:rsidTr="00934CB9">
        <w:trPr>
          <w:trHeight w:val="300"/>
        </w:trPr>
        <w:tc>
          <w:tcPr>
            <w:tcW w:w="1008" w:type="dxa"/>
            <w:noWrap/>
            <w:vAlign w:val="center"/>
            <w:hideMark/>
          </w:tcPr>
          <w:p w:rsidR="00934CB9" w:rsidRPr="005B6BA7" w:rsidRDefault="00934CB9" w:rsidP="001366A8">
            <w:pPr>
              <w:jc w:val="center"/>
              <w:rPr>
                <w:rFonts w:ascii="Times New Roman" w:hAnsi="Times New Roman" w:cs="Times New Roman"/>
                <w:sz w:val="16"/>
              </w:rPr>
            </w:pPr>
          </w:p>
        </w:tc>
        <w:tc>
          <w:tcPr>
            <w:tcW w:w="1114" w:type="dxa"/>
            <w:noWrap/>
            <w:vAlign w:val="center"/>
            <w:hideMark/>
          </w:tcPr>
          <w:p w:rsidR="00934CB9" w:rsidRPr="00056731" w:rsidRDefault="00934CB9" w:rsidP="001366A8">
            <w:pPr>
              <w:jc w:val="center"/>
              <w:rPr>
                <w:rFonts w:ascii="Times New Roman" w:hAnsi="Times New Roman" w:cs="Times New Roman"/>
                <w:sz w:val="16"/>
                <w:szCs w:val="16"/>
              </w:rPr>
            </w:pPr>
            <w:r w:rsidRPr="00056731">
              <w:rPr>
                <w:rFonts w:ascii="Times New Roman" w:hAnsi="Times New Roman" w:cs="Times New Roman"/>
                <w:sz w:val="16"/>
                <w:szCs w:val="16"/>
              </w:rPr>
              <w:t>Median</w:t>
            </w:r>
          </w:p>
        </w:tc>
        <w:tc>
          <w:tcPr>
            <w:tcW w:w="84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0.751</w:t>
            </w:r>
          </w:p>
        </w:tc>
        <w:tc>
          <w:tcPr>
            <w:tcW w:w="100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4.614</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0.0215</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1.405</w:t>
            </w:r>
          </w:p>
        </w:tc>
        <w:tc>
          <w:tcPr>
            <w:tcW w:w="900"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w:t>
            </w:r>
          </w:p>
        </w:tc>
        <w:tc>
          <w:tcPr>
            <w:tcW w:w="1204"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w:t>
            </w:r>
          </w:p>
        </w:tc>
        <w:tc>
          <w:tcPr>
            <w:tcW w:w="855" w:type="dxa"/>
            <w:gridSpan w:val="2"/>
            <w:noWrap/>
            <w:vAlign w:val="center"/>
            <w:hideMark/>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0.152</w:t>
            </w:r>
          </w:p>
        </w:tc>
      </w:tr>
      <w:tr w:rsidR="00934CB9" w:rsidRPr="005B6BA7" w:rsidTr="00934CB9">
        <w:trPr>
          <w:trHeight w:val="300"/>
        </w:trPr>
        <w:tc>
          <w:tcPr>
            <w:tcW w:w="1008" w:type="dxa"/>
            <w:noWrap/>
            <w:vAlign w:val="center"/>
            <w:hideMark/>
          </w:tcPr>
          <w:p w:rsidR="00934CB9" w:rsidRPr="005B6BA7" w:rsidRDefault="00934CB9" w:rsidP="001366A8">
            <w:pPr>
              <w:jc w:val="center"/>
              <w:rPr>
                <w:rFonts w:ascii="Times New Roman" w:hAnsi="Times New Roman" w:cs="Times New Roman"/>
                <w:sz w:val="16"/>
              </w:rPr>
            </w:pPr>
            <w:r>
              <w:rPr>
                <w:rFonts w:ascii="Times New Roman" w:hAnsi="Times New Roman" w:cs="Times New Roman"/>
                <w:sz w:val="16"/>
              </w:rPr>
              <w:t>Fiscal Q</w:t>
            </w:r>
            <w:r w:rsidRPr="005B6BA7">
              <w:rPr>
                <w:rFonts w:ascii="Times New Roman" w:hAnsi="Times New Roman" w:cs="Times New Roman"/>
                <w:sz w:val="16"/>
              </w:rPr>
              <w:t>3</w:t>
            </w:r>
          </w:p>
        </w:tc>
        <w:tc>
          <w:tcPr>
            <w:tcW w:w="1114" w:type="dxa"/>
            <w:noWrap/>
            <w:vAlign w:val="center"/>
            <w:hideMark/>
          </w:tcPr>
          <w:p w:rsidR="00934CB9" w:rsidRPr="00056731" w:rsidRDefault="00934CB9" w:rsidP="001366A8">
            <w:pPr>
              <w:jc w:val="center"/>
              <w:rPr>
                <w:rFonts w:ascii="Times New Roman" w:hAnsi="Times New Roman" w:cs="Times New Roman"/>
                <w:sz w:val="16"/>
                <w:szCs w:val="16"/>
              </w:rPr>
            </w:pPr>
            <w:r w:rsidRPr="00056731">
              <w:rPr>
                <w:rFonts w:ascii="Times New Roman" w:hAnsi="Times New Roman" w:cs="Times New Roman"/>
                <w:sz w:val="16"/>
                <w:szCs w:val="16"/>
              </w:rPr>
              <w:t>N</w:t>
            </w:r>
          </w:p>
        </w:tc>
        <w:tc>
          <w:tcPr>
            <w:tcW w:w="84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17,361</w:t>
            </w:r>
          </w:p>
        </w:tc>
        <w:tc>
          <w:tcPr>
            <w:tcW w:w="100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17,350</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17,361</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17,361</w:t>
            </w:r>
          </w:p>
        </w:tc>
        <w:tc>
          <w:tcPr>
            <w:tcW w:w="900"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16,857</w:t>
            </w:r>
          </w:p>
        </w:tc>
        <w:tc>
          <w:tcPr>
            <w:tcW w:w="1204"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17,258</w:t>
            </w:r>
          </w:p>
        </w:tc>
        <w:tc>
          <w:tcPr>
            <w:tcW w:w="855" w:type="dxa"/>
            <w:gridSpan w:val="2"/>
            <w:noWrap/>
            <w:vAlign w:val="center"/>
            <w:hideMark/>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15,765</w:t>
            </w:r>
          </w:p>
        </w:tc>
      </w:tr>
      <w:tr w:rsidR="00934CB9" w:rsidRPr="005B6BA7" w:rsidTr="00934CB9">
        <w:trPr>
          <w:trHeight w:val="300"/>
        </w:trPr>
        <w:tc>
          <w:tcPr>
            <w:tcW w:w="1008" w:type="dxa"/>
            <w:noWrap/>
            <w:vAlign w:val="center"/>
            <w:hideMark/>
          </w:tcPr>
          <w:p w:rsidR="00934CB9" w:rsidRPr="005B6BA7" w:rsidRDefault="00934CB9" w:rsidP="001366A8">
            <w:pPr>
              <w:jc w:val="center"/>
              <w:rPr>
                <w:rFonts w:ascii="Times New Roman" w:hAnsi="Times New Roman" w:cs="Times New Roman"/>
                <w:sz w:val="16"/>
              </w:rPr>
            </w:pPr>
          </w:p>
        </w:tc>
        <w:tc>
          <w:tcPr>
            <w:tcW w:w="1114" w:type="dxa"/>
            <w:noWrap/>
            <w:vAlign w:val="center"/>
            <w:hideMark/>
          </w:tcPr>
          <w:p w:rsidR="00934CB9" w:rsidRPr="00056731" w:rsidRDefault="00934CB9" w:rsidP="001366A8">
            <w:pPr>
              <w:jc w:val="center"/>
              <w:rPr>
                <w:rFonts w:ascii="Times New Roman" w:hAnsi="Times New Roman" w:cs="Times New Roman"/>
                <w:sz w:val="16"/>
                <w:szCs w:val="16"/>
              </w:rPr>
            </w:pPr>
            <w:r w:rsidRPr="00056731">
              <w:rPr>
                <w:rFonts w:ascii="Times New Roman" w:hAnsi="Times New Roman" w:cs="Times New Roman"/>
                <w:sz w:val="16"/>
                <w:szCs w:val="16"/>
              </w:rPr>
              <w:t>Mean</w:t>
            </w:r>
          </w:p>
        </w:tc>
        <w:tc>
          <w:tcPr>
            <w:tcW w:w="84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1.316</w:t>
            </w:r>
          </w:p>
        </w:tc>
        <w:tc>
          <w:tcPr>
            <w:tcW w:w="100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6.996</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0.0155</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1.817</w:t>
            </w:r>
          </w:p>
        </w:tc>
        <w:tc>
          <w:tcPr>
            <w:tcW w:w="900"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0.0506</w:t>
            </w:r>
          </w:p>
        </w:tc>
        <w:tc>
          <w:tcPr>
            <w:tcW w:w="1204"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0.0019</w:t>
            </w:r>
          </w:p>
        </w:tc>
        <w:tc>
          <w:tcPr>
            <w:tcW w:w="855" w:type="dxa"/>
            <w:gridSpan w:val="2"/>
            <w:noWrap/>
            <w:vAlign w:val="center"/>
            <w:hideMark/>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0.172</w:t>
            </w:r>
          </w:p>
        </w:tc>
      </w:tr>
      <w:tr w:rsidR="00934CB9" w:rsidRPr="005B6BA7" w:rsidTr="00934CB9">
        <w:trPr>
          <w:trHeight w:val="300"/>
        </w:trPr>
        <w:tc>
          <w:tcPr>
            <w:tcW w:w="1008" w:type="dxa"/>
            <w:noWrap/>
            <w:vAlign w:val="center"/>
            <w:hideMark/>
          </w:tcPr>
          <w:p w:rsidR="00934CB9" w:rsidRPr="005B6BA7" w:rsidRDefault="00934CB9" w:rsidP="001366A8">
            <w:pPr>
              <w:jc w:val="center"/>
              <w:rPr>
                <w:rFonts w:ascii="Times New Roman" w:hAnsi="Times New Roman" w:cs="Times New Roman"/>
                <w:sz w:val="16"/>
              </w:rPr>
            </w:pPr>
          </w:p>
        </w:tc>
        <w:tc>
          <w:tcPr>
            <w:tcW w:w="1114" w:type="dxa"/>
            <w:noWrap/>
            <w:vAlign w:val="center"/>
            <w:hideMark/>
          </w:tcPr>
          <w:p w:rsidR="00934CB9" w:rsidRPr="00056731" w:rsidRDefault="00934CB9" w:rsidP="001366A8">
            <w:pPr>
              <w:jc w:val="center"/>
              <w:rPr>
                <w:rFonts w:ascii="Times New Roman" w:hAnsi="Times New Roman" w:cs="Times New Roman"/>
                <w:sz w:val="16"/>
                <w:szCs w:val="16"/>
              </w:rPr>
            </w:pPr>
            <w:r w:rsidRPr="00056731">
              <w:rPr>
                <w:rFonts w:ascii="Times New Roman" w:hAnsi="Times New Roman" w:cs="Times New Roman"/>
                <w:sz w:val="16"/>
                <w:szCs w:val="16"/>
              </w:rPr>
              <w:t>Median</w:t>
            </w:r>
          </w:p>
        </w:tc>
        <w:tc>
          <w:tcPr>
            <w:tcW w:w="84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0.765</w:t>
            </w:r>
          </w:p>
        </w:tc>
        <w:tc>
          <w:tcPr>
            <w:tcW w:w="100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4.674</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0.0218</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1.406</w:t>
            </w:r>
          </w:p>
        </w:tc>
        <w:tc>
          <w:tcPr>
            <w:tcW w:w="900"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0.0236</w:t>
            </w:r>
          </w:p>
        </w:tc>
        <w:tc>
          <w:tcPr>
            <w:tcW w:w="1204" w:type="dxa"/>
            <w:vAlign w:val="center"/>
          </w:tcPr>
          <w:p w:rsidR="00934CB9" w:rsidRPr="00934CB9" w:rsidRDefault="00934CB9" w:rsidP="00917157">
            <w:pPr>
              <w:contextualSpacing/>
              <w:jc w:val="center"/>
              <w:rPr>
                <w:rFonts w:ascii="Times New Roman" w:hAnsi="Times New Roman" w:cs="Times New Roman"/>
                <w:sz w:val="16"/>
                <w:szCs w:val="16"/>
              </w:rPr>
            </w:pPr>
            <w:r w:rsidRPr="00934CB9">
              <w:rPr>
                <w:rFonts w:ascii="Times New Roman" w:hAnsi="Times New Roman" w:cs="Times New Roman"/>
                <w:sz w:val="16"/>
                <w:szCs w:val="16"/>
              </w:rPr>
              <w:t>0.0008</w:t>
            </w:r>
          </w:p>
        </w:tc>
        <w:tc>
          <w:tcPr>
            <w:tcW w:w="855" w:type="dxa"/>
            <w:gridSpan w:val="2"/>
            <w:noWrap/>
            <w:vAlign w:val="center"/>
            <w:hideMark/>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0.146</w:t>
            </w:r>
          </w:p>
        </w:tc>
      </w:tr>
      <w:tr w:rsidR="00934CB9" w:rsidRPr="005B6BA7" w:rsidTr="00934CB9">
        <w:trPr>
          <w:trHeight w:val="300"/>
        </w:trPr>
        <w:tc>
          <w:tcPr>
            <w:tcW w:w="1008" w:type="dxa"/>
            <w:noWrap/>
            <w:vAlign w:val="center"/>
            <w:hideMark/>
          </w:tcPr>
          <w:p w:rsidR="00934CB9" w:rsidRPr="005B6BA7" w:rsidRDefault="00934CB9" w:rsidP="001366A8">
            <w:pPr>
              <w:jc w:val="center"/>
              <w:rPr>
                <w:rFonts w:ascii="Times New Roman" w:hAnsi="Times New Roman" w:cs="Times New Roman"/>
                <w:sz w:val="16"/>
              </w:rPr>
            </w:pPr>
            <w:r>
              <w:rPr>
                <w:rFonts w:ascii="Times New Roman" w:hAnsi="Times New Roman" w:cs="Times New Roman"/>
                <w:sz w:val="16"/>
              </w:rPr>
              <w:t>Fiscal Q4</w:t>
            </w:r>
          </w:p>
        </w:tc>
        <w:tc>
          <w:tcPr>
            <w:tcW w:w="1114" w:type="dxa"/>
            <w:noWrap/>
            <w:vAlign w:val="center"/>
            <w:hideMark/>
          </w:tcPr>
          <w:p w:rsidR="00934CB9" w:rsidRPr="00056731" w:rsidRDefault="00934CB9" w:rsidP="001366A8">
            <w:pPr>
              <w:jc w:val="center"/>
              <w:rPr>
                <w:rFonts w:ascii="Times New Roman" w:hAnsi="Times New Roman" w:cs="Times New Roman"/>
                <w:sz w:val="16"/>
                <w:szCs w:val="16"/>
              </w:rPr>
            </w:pPr>
            <w:r w:rsidRPr="00056731">
              <w:rPr>
                <w:rFonts w:ascii="Times New Roman" w:hAnsi="Times New Roman" w:cs="Times New Roman"/>
                <w:sz w:val="16"/>
                <w:szCs w:val="16"/>
              </w:rPr>
              <w:t>N</w:t>
            </w:r>
          </w:p>
        </w:tc>
        <w:tc>
          <w:tcPr>
            <w:tcW w:w="84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17,361</w:t>
            </w:r>
          </w:p>
        </w:tc>
        <w:tc>
          <w:tcPr>
            <w:tcW w:w="100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17,348</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17,361</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17,361</w:t>
            </w:r>
          </w:p>
        </w:tc>
        <w:tc>
          <w:tcPr>
            <w:tcW w:w="900"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16,930</w:t>
            </w:r>
          </w:p>
        </w:tc>
        <w:tc>
          <w:tcPr>
            <w:tcW w:w="1204"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17,299</w:t>
            </w:r>
          </w:p>
        </w:tc>
        <w:tc>
          <w:tcPr>
            <w:tcW w:w="855" w:type="dxa"/>
            <w:gridSpan w:val="2"/>
            <w:noWrap/>
            <w:vAlign w:val="center"/>
            <w:hideMark/>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15,818</w:t>
            </w:r>
          </w:p>
        </w:tc>
      </w:tr>
      <w:tr w:rsidR="00934CB9" w:rsidRPr="005B6BA7" w:rsidTr="00934CB9">
        <w:trPr>
          <w:trHeight w:val="300"/>
        </w:trPr>
        <w:tc>
          <w:tcPr>
            <w:tcW w:w="1008" w:type="dxa"/>
            <w:noWrap/>
            <w:vAlign w:val="center"/>
            <w:hideMark/>
          </w:tcPr>
          <w:p w:rsidR="00934CB9" w:rsidRPr="005B6BA7" w:rsidRDefault="00934CB9" w:rsidP="001366A8">
            <w:pPr>
              <w:jc w:val="center"/>
              <w:rPr>
                <w:rFonts w:ascii="Times New Roman" w:hAnsi="Times New Roman" w:cs="Times New Roman"/>
                <w:sz w:val="16"/>
              </w:rPr>
            </w:pPr>
          </w:p>
        </w:tc>
        <w:tc>
          <w:tcPr>
            <w:tcW w:w="1114" w:type="dxa"/>
            <w:noWrap/>
            <w:vAlign w:val="center"/>
            <w:hideMark/>
          </w:tcPr>
          <w:p w:rsidR="00934CB9" w:rsidRPr="00056731" w:rsidRDefault="00934CB9" w:rsidP="001366A8">
            <w:pPr>
              <w:jc w:val="center"/>
              <w:rPr>
                <w:rFonts w:ascii="Times New Roman" w:hAnsi="Times New Roman" w:cs="Times New Roman"/>
                <w:sz w:val="16"/>
                <w:szCs w:val="16"/>
              </w:rPr>
            </w:pPr>
            <w:r w:rsidRPr="00056731">
              <w:rPr>
                <w:rFonts w:ascii="Times New Roman" w:hAnsi="Times New Roman" w:cs="Times New Roman"/>
                <w:sz w:val="16"/>
                <w:szCs w:val="16"/>
              </w:rPr>
              <w:t>Mean</w:t>
            </w:r>
          </w:p>
        </w:tc>
        <w:tc>
          <w:tcPr>
            <w:tcW w:w="84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1.368</w:t>
            </w:r>
          </w:p>
        </w:tc>
        <w:tc>
          <w:tcPr>
            <w:tcW w:w="1008"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7.222</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0.0136</w:t>
            </w:r>
          </w:p>
        </w:tc>
        <w:tc>
          <w:tcPr>
            <w:tcW w:w="855"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1.772</w:t>
            </w:r>
          </w:p>
        </w:tc>
        <w:tc>
          <w:tcPr>
            <w:tcW w:w="900" w:type="dxa"/>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0.0409</w:t>
            </w:r>
          </w:p>
        </w:tc>
        <w:tc>
          <w:tcPr>
            <w:tcW w:w="1204" w:type="dxa"/>
            <w:vAlign w:val="center"/>
          </w:tcPr>
          <w:p w:rsidR="00934CB9" w:rsidRPr="00934CB9" w:rsidRDefault="00934CB9" w:rsidP="00917157">
            <w:pPr>
              <w:contextualSpacing/>
              <w:jc w:val="center"/>
              <w:rPr>
                <w:rFonts w:ascii="Times New Roman" w:hAnsi="Times New Roman" w:cs="Times New Roman"/>
                <w:sz w:val="16"/>
                <w:szCs w:val="16"/>
              </w:rPr>
            </w:pPr>
            <w:r w:rsidRPr="00934CB9">
              <w:rPr>
                <w:rFonts w:ascii="Times New Roman" w:hAnsi="Times New Roman" w:cs="Times New Roman"/>
                <w:sz w:val="16"/>
                <w:szCs w:val="16"/>
              </w:rPr>
              <w:t>0.0044</w:t>
            </w:r>
          </w:p>
        </w:tc>
        <w:tc>
          <w:tcPr>
            <w:tcW w:w="855" w:type="dxa"/>
            <w:gridSpan w:val="2"/>
            <w:noWrap/>
            <w:vAlign w:val="center"/>
            <w:hideMark/>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0.17</w:t>
            </w:r>
          </w:p>
        </w:tc>
      </w:tr>
      <w:tr w:rsidR="00934CB9" w:rsidRPr="005B6BA7" w:rsidTr="00934CB9">
        <w:trPr>
          <w:trHeight w:val="300"/>
        </w:trPr>
        <w:tc>
          <w:tcPr>
            <w:tcW w:w="1008" w:type="dxa"/>
            <w:tcBorders>
              <w:bottom w:val="double" w:sz="4" w:space="0" w:color="auto"/>
            </w:tcBorders>
            <w:noWrap/>
            <w:vAlign w:val="center"/>
            <w:hideMark/>
          </w:tcPr>
          <w:p w:rsidR="00934CB9" w:rsidRPr="005B6BA7" w:rsidRDefault="00934CB9" w:rsidP="001366A8">
            <w:pPr>
              <w:jc w:val="center"/>
              <w:rPr>
                <w:rFonts w:ascii="Times New Roman" w:hAnsi="Times New Roman" w:cs="Times New Roman"/>
                <w:sz w:val="16"/>
              </w:rPr>
            </w:pPr>
          </w:p>
        </w:tc>
        <w:tc>
          <w:tcPr>
            <w:tcW w:w="1114" w:type="dxa"/>
            <w:tcBorders>
              <w:bottom w:val="double" w:sz="4" w:space="0" w:color="auto"/>
            </w:tcBorders>
            <w:noWrap/>
            <w:vAlign w:val="center"/>
            <w:hideMark/>
          </w:tcPr>
          <w:p w:rsidR="00934CB9" w:rsidRPr="00056731" w:rsidRDefault="00934CB9" w:rsidP="001366A8">
            <w:pPr>
              <w:jc w:val="center"/>
              <w:rPr>
                <w:rFonts w:ascii="Times New Roman" w:hAnsi="Times New Roman" w:cs="Times New Roman"/>
                <w:sz w:val="16"/>
                <w:szCs w:val="16"/>
              </w:rPr>
            </w:pPr>
            <w:r w:rsidRPr="00056731">
              <w:rPr>
                <w:rFonts w:ascii="Times New Roman" w:hAnsi="Times New Roman" w:cs="Times New Roman"/>
                <w:sz w:val="16"/>
                <w:szCs w:val="16"/>
              </w:rPr>
              <w:t>Median</w:t>
            </w:r>
          </w:p>
        </w:tc>
        <w:tc>
          <w:tcPr>
            <w:tcW w:w="848" w:type="dxa"/>
            <w:tcBorders>
              <w:bottom w:val="double" w:sz="4" w:space="0" w:color="auto"/>
            </w:tcBorders>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0.845</w:t>
            </w:r>
          </w:p>
        </w:tc>
        <w:tc>
          <w:tcPr>
            <w:tcW w:w="1008" w:type="dxa"/>
            <w:tcBorders>
              <w:bottom w:val="double" w:sz="4" w:space="0" w:color="auto"/>
            </w:tcBorders>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5.074</w:t>
            </w:r>
          </w:p>
        </w:tc>
        <w:tc>
          <w:tcPr>
            <w:tcW w:w="855" w:type="dxa"/>
            <w:tcBorders>
              <w:bottom w:val="double" w:sz="4" w:space="0" w:color="auto"/>
            </w:tcBorders>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0.0219</w:t>
            </w:r>
          </w:p>
        </w:tc>
        <w:tc>
          <w:tcPr>
            <w:tcW w:w="855" w:type="dxa"/>
            <w:tcBorders>
              <w:bottom w:val="double" w:sz="4" w:space="0" w:color="auto"/>
            </w:tcBorders>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1.382</w:t>
            </w:r>
          </w:p>
        </w:tc>
        <w:tc>
          <w:tcPr>
            <w:tcW w:w="900" w:type="dxa"/>
            <w:tcBorders>
              <w:bottom w:val="double" w:sz="4" w:space="0" w:color="auto"/>
            </w:tcBorders>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w:t>
            </w:r>
          </w:p>
        </w:tc>
        <w:tc>
          <w:tcPr>
            <w:tcW w:w="1204" w:type="dxa"/>
            <w:tcBorders>
              <w:bottom w:val="double" w:sz="4" w:space="0" w:color="auto"/>
            </w:tcBorders>
            <w:vAlign w:val="center"/>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w:t>
            </w:r>
          </w:p>
        </w:tc>
        <w:tc>
          <w:tcPr>
            <w:tcW w:w="855" w:type="dxa"/>
            <w:gridSpan w:val="2"/>
            <w:tcBorders>
              <w:bottom w:val="double" w:sz="4" w:space="0" w:color="auto"/>
            </w:tcBorders>
            <w:noWrap/>
            <w:vAlign w:val="center"/>
            <w:hideMark/>
          </w:tcPr>
          <w:p w:rsidR="00934CB9" w:rsidRPr="00934CB9" w:rsidRDefault="00934CB9" w:rsidP="00934CB9">
            <w:pPr>
              <w:contextualSpacing/>
              <w:jc w:val="center"/>
              <w:rPr>
                <w:rFonts w:ascii="Times New Roman" w:hAnsi="Times New Roman" w:cs="Times New Roman"/>
                <w:sz w:val="16"/>
                <w:szCs w:val="16"/>
              </w:rPr>
            </w:pPr>
            <w:r w:rsidRPr="00934CB9">
              <w:rPr>
                <w:rFonts w:ascii="Times New Roman" w:hAnsi="Times New Roman" w:cs="Times New Roman"/>
                <w:sz w:val="16"/>
                <w:szCs w:val="16"/>
              </w:rPr>
              <w:t>0.142</w:t>
            </w:r>
          </w:p>
        </w:tc>
      </w:tr>
    </w:tbl>
    <w:p w:rsidR="00821BD4" w:rsidRPr="00EE1141" w:rsidRDefault="00821BD4" w:rsidP="00821BD4">
      <w:pPr>
        <w:rPr>
          <w:rFonts w:ascii="Times New Roman" w:hAnsi="Times New Roman" w:cs="Times New Roman"/>
          <w:szCs w:val="16"/>
        </w:rPr>
      </w:pPr>
      <w:r w:rsidRPr="00EE1141">
        <w:rPr>
          <w:rFonts w:ascii="Times New Roman" w:hAnsi="Times New Roman" w:cs="Times New Roman"/>
          <w:szCs w:val="16"/>
        </w:rPr>
        <w:br w:type="page"/>
      </w:r>
    </w:p>
    <w:p w:rsidR="00821BD4" w:rsidRPr="00EE1141" w:rsidRDefault="00821BD4" w:rsidP="00821BD4">
      <w:pPr>
        <w:spacing w:after="120" w:line="240" w:lineRule="auto"/>
        <w:rPr>
          <w:rFonts w:ascii="Times New Roman" w:hAnsi="Times New Roman" w:cs="Times New Roman"/>
          <w:b/>
          <w:sz w:val="14"/>
        </w:rPr>
      </w:pPr>
      <w:r w:rsidRPr="00EE1141">
        <w:rPr>
          <w:rFonts w:ascii="Times New Roman" w:hAnsi="Times New Roman" w:cs="Times New Roman"/>
          <w:b/>
          <w:sz w:val="20"/>
          <w:szCs w:val="16"/>
        </w:rPr>
        <w:lastRenderedPageBreak/>
        <w:t xml:space="preserve">Table 4 </w:t>
      </w:r>
      <w:r w:rsidR="002D0C41">
        <w:rPr>
          <w:rFonts w:ascii="Times New Roman" w:hAnsi="Times New Roman" w:cs="Times New Roman"/>
          <w:b/>
          <w:sz w:val="20"/>
          <w:szCs w:val="16"/>
        </w:rPr>
        <w:t xml:space="preserve">– </w:t>
      </w:r>
      <w:r w:rsidRPr="00EE1141">
        <w:rPr>
          <w:rFonts w:ascii="Times New Roman" w:hAnsi="Times New Roman" w:cs="Times New Roman"/>
          <w:b/>
          <w:sz w:val="20"/>
          <w:szCs w:val="16"/>
        </w:rPr>
        <w:t>Fourth-quarter Investment Patterns across Firms and Countries – Baseline Results</w:t>
      </w:r>
    </w:p>
    <w:p w:rsidR="00821BD4" w:rsidRPr="00EE1141" w:rsidRDefault="00821BD4" w:rsidP="00693E90">
      <w:pPr>
        <w:spacing w:after="0" w:line="240" w:lineRule="auto"/>
        <w:ind w:firstLine="288"/>
        <w:jc w:val="both"/>
        <w:rPr>
          <w:rFonts w:ascii="Times New Roman" w:hAnsi="Times New Roman" w:cs="Times New Roman"/>
          <w:sz w:val="16"/>
        </w:rPr>
      </w:pPr>
      <w:r w:rsidRPr="00EE1141">
        <w:rPr>
          <w:rFonts w:ascii="Times New Roman" w:hAnsi="Times New Roman" w:cs="Times New Roman"/>
          <w:sz w:val="16"/>
          <w:szCs w:val="16"/>
        </w:rPr>
        <w:t xml:space="preserve">Panel A of this table reports the results of regressions of capital expenditure on the firm-level variable quintiles and their interactions with </w:t>
      </w:r>
      <w:r w:rsidR="00E530A7">
        <w:rPr>
          <w:rFonts w:ascii="Times New Roman" w:hAnsi="Times New Roman" w:cs="Times New Roman"/>
          <w:sz w:val="16"/>
          <w:szCs w:val="16"/>
        </w:rPr>
        <w:t xml:space="preserve">fourth </w:t>
      </w:r>
      <w:r w:rsidRPr="00EE1141">
        <w:rPr>
          <w:rFonts w:ascii="Times New Roman" w:hAnsi="Times New Roman" w:cs="Times New Roman"/>
          <w:sz w:val="16"/>
          <w:szCs w:val="16"/>
        </w:rPr>
        <w:t>fiscal quarter dummy, controlling for firm fixed effects and other firm-level observable measures to account for any confounding effects attributable to capital expenditure. We also add Fama-French-48 industry × calendar quarter interaction fixed effects to control for time-varying investment opportunities. In Columns 1 through 4, we define capital expenditure as quarterly capital expenditures over total assets</w:t>
      </w:r>
      <w:r w:rsidR="00E530A7">
        <w:rPr>
          <w:rFonts w:ascii="Times New Roman" w:hAnsi="Times New Roman" w:cs="Times New Roman"/>
          <w:sz w:val="16"/>
          <w:szCs w:val="16"/>
        </w:rPr>
        <w:t xml:space="preserve"> at the beginning of the quarter</w:t>
      </w:r>
      <w:r w:rsidRPr="00EE1141">
        <w:rPr>
          <w:rFonts w:ascii="Times New Roman" w:hAnsi="Times New Roman" w:cs="Times New Roman"/>
          <w:sz w:val="16"/>
          <w:szCs w:val="16"/>
        </w:rPr>
        <w:t xml:space="preserve">, and in Columns 5 through 8, we define capital expenditure as </w:t>
      </w:r>
      <w:r w:rsidRPr="00EE1141">
        <w:rPr>
          <w:rFonts w:ascii="Times New Roman" w:hAnsi="Times New Roman" w:cs="Times New Roman"/>
          <w:sz w:val="16"/>
        </w:rPr>
        <w:t>quarterly capital expenditures over property, plant, &amp; equipment</w:t>
      </w:r>
      <w:r w:rsidR="00E530A7">
        <w:rPr>
          <w:rFonts w:ascii="Times New Roman" w:hAnsi="Times New Roman" w:cs="Times New Roman"/>
          <w:sz w:val="16"/>
        </w:rPr>
        <w:t xml:space="preserve"> at the beginning of the quarter</w:t>
      </w:r>
      <w:r w:rsidRPr="00EE1141">
        <w:rPr>
          <w:rFonts w:ascii="Times New Roman" w:hAnsi="Times New Roman" w:cs="Times New Roman"/>
          <w:sz w:val="16"/>
        </w:rPr>
        <w:t>.</w:t>
      </w:r>
      <w:r w:rsidRPr="00EE1141">
        <w:rPr>
          <w:rFonts w:ascii="Times New Roman" w:hAnsi="Times New Roman" w:cs="Times New Roman"/>
          <w:sz w:val="16"/>
          <w:szCs w:val="16"/>
        </w:rPr>
        <w:t xml:space="preserve"> </w:t>
      </w:r>
      <w:r w:rsidR="00056731" w:rsidRPr="00EE1141">
        <w:rPr>
          <w:rFonts w:ascii="Times New Roman" w:hAnsi="Times New Roman" w:cs="Times New Roman"/>
          <w:sz w:val="16"/>
        </w:rPr>
        <w:t>C</w:t>
      </w:r>
      <w:r w:rsidR="00056731">
        <w:rPr>
          <w:rFonts w:ascii="Times New Roman" w:hAnsi="Times New Roman" w:cs="Times New Roman"/>
          <w:sz w:val="16"/>
        </w:rPr>
        <w:t>ash Flow</w:t>
      </w:r>
      <w:r w:rsidR="00056731" w:rsidRPr="00EE1141">
        <w:rPr>
          <w:rFonts w:ascii="Times New Roman" w:hAnsi="Times New Roman" w:cs="Times New Roman"/>
          <w:sz w:val="16"/>
        </w:rPr>
        <w:t xml:space="preserve"> is constructed as </w:t>
      </w:r>
      <w:r w:rsidR="005B6E0B" w:rsidRPr="005B6E0B">
        <w:rPr>
          <w:rFonts w:ascii="Times New Roman" w:hAnsi="Times New Roman" w:cs="Times New Roman"/>
          <w:sz w:val="16"/>
        </w:rPr>
        <w:t xml:space="preserve">the sum of quarterly income before extraordinary items and depreciation and amortization, divided by firm’s assets at the beginning of each quarter. </w:t>
      </w:r>
      <w:r w:rsidR="00056731" w:rsidRPr="00EE1141">
        <w:rPr>
          <w:rFonts w:ascii="Times New Roman" w:hAnsi="Times New Roman" w:cs="Times New Roman"/>
          <w:sz w:val="16"/>
        </w:rPr>
        <w:t xml:space="preserve">Tobin’s </w:t>
      </w:r>
      <w:r w:rsidR="00056731">
        <w:rPr>
          <w:rFonts w:ascii="Times New Roman" w:hAnsi="Times New Roman" w:cs="Times New Roman"/>
          <w:sz w:val="16"/>
        </w:rPr>
        <w:t>q</w:t>
      </w:r>
      <w:r w:rsidR="00056731" w:rsidRPr="00EE1141">
        <w:rPr>
          <w:rFonts w:ascii="Times New Roman" w:hAnsi="Times New Roman" w:cs="Times New Roman"/>
          <w:sz w:val="16"/>
        </w:rPr>
        <w:t xml:space="preserve"> is</w:t>
      </w:r>
      <w:r w:rsidR="00056731">
        <w:rPr>
          <w:rFonts w:ascii="Times New Roman" w:hAnsi="Times New Roman" w:cs="Times New Roman"/>
          <w:sz w:val="16"/>
        </w:rPr>
        <w:t xml:space="preserve"> measured as</w:t>
      </w:r>
      <w:r w:rsidR="00056731" w:rsidRPr="00EE1141">
        <w:rPr>
          <w:rFonts w:ascii="Times New Roman" w:hAnsi="Times New Roman" w:cs="Times New Roman"/>
          <w:sz w:val="16"/>
        </w:rPr>
        <w:t xml:space="preserve"> the ratio of market value of assets over book value of assets at the beginning of each quarter, and is bounded above at 10. </w:t>
      </w:r>
      <w:r w:rsidR="00056731">
        <w:rPr>
          <w:rFonts w:ascii="Times New Roman" w:hAnsi="Times New Roman" w:cs="Times New Roman"/>
          <w:sz w:val="16"/>
        </w:rPr>
        <w:t xml:space="preserve">Change in </w:t>
      </w:r>
      <w:r w:rsidR="00E530A7">
        <w:rPr>
          <w:rFonts w:ascii="Times New Roman" w:hAnsi="Times New Roman" w:cs="Times New Roman"/>
          <w:sz w:val="16"/>
        </w:rPr>
        <w:t>C</w:t>
      </w:r>
      <w:r w:rsidR="00056731">
        <w:rPr>
          <w:rFonts w:ascii="Times New Roman" w:hAnsi="Times New Roman" w:cs="Times New Roman"/>
          <w:sz w:val="16"/>
        </w:rPr>
        <w:t xml:space="preserve">ash </w:t>
      </w:r>
      <w:r w:rsidR="00E530A7">
        <w:rPr>
          <w:rFonts w:ascii="Times New Roman" w:hAnsi="Times New Roman" w:cs="Times New Roman"/>
          <w:sz w:val="16"/>
        </w:rPr>
        <w:t>H</w:t>
      </w:r>
      <w:r w:rsidR="00056731">
        <w:rPr>
          <w:rFonts w:ascii="Times New Roman" w:hAnsi="Times New Roman" w:cs="Times New Roman"/>
          <w:sz w:val="16"/>
        </w:rPr>
        <w:t>oldings</w:t>
      </w:r>
      <w:r w:rsidR="00056731" w:rsidRPr="00EE1141">
        <w:rPr>
          <w:rFonts w:ascii="Times New Roman" w:hAnsi="Times New Roman" w:cs="Times New Roman"/>
          <w:sz w:val="16"/>
        </w:rPr>
        <w:t xml:space="preserve"> is the difference of cash holding from that in the previous fiscal quarter, and cash holding is defined as </w:t>
      </w:r>
      <w:r w:rsidR="00E530A7">
        <w:rPr>
          <w:rFonts w:ascii="Times New Roman" w:hAnsi="Times New Roman" w:cs="Times New Roman"/>
          <w:sz w:val="16"/>
        </w:rPr>
        <w:t>c</w:t>
      </w:r>
      <w:r w:rsidR="00E530A7" w:rsidRPr="000E266E">
        <w:rPr>
          <w:rFonts w:ascii="Times New Roman" w:hAnsi="Times New Roman" w:cs="Times New Roman"/>
          <w:sz w:val="16"/>
        </w:rPr>
        <w:t xml:space="preserve">ash and </w:t>
      </w:r>
      <w:r w:rsidR="00E530A7">
        <w:rPr>
          <w:rFonts w:ascii="Times New Roman" w:hAnsi="Times New Roman" w:cs="Times New Roman"/>
          <w:sz w:val="16"/>
        </w:rPr>
        <w:t>s</w:t>
      </w:r>
      <w:r w:rsidR="00E530A7" w:rsidRPr="000E266E">
        <w:rPr>
          <w:rFonts w:ascii="Times New Roman" w:hAnsi="Times New Roman" w:cs="Times New Roman"/>
          <w:sz w:val="16"/>
        </w:rPr>
        <w:t>hort-</w:t>
      </w:r>
      <w:r w:rsidR="00E530A7">
        <w:rPr>
          <w:rFonts w:ascii="Times New Roman" w:hAnsi="Times New Roman" w:cs="Times New Roman"/>
          <w:sz w:val="16"/>
        </w:rPr>
        <w:t>t</w:t>
      </w:r>
      <w:r w:rsidR="00E530A7" w:rsidRPr="000E266E">
        <w:rPr>
          <w:rFonts w:ascii="Times New Roman" w:hAnsi="Times New Roman" w:cs="Times New Roman"/>
          <w:sz w:val="16"/>
        </w:rPr>
        <w:t xml:space="preserve">erm Investments </w:t>
      </w:r>
      <w:r w:rsidR="00056731" w:rsidRPr="00EE1141">
        <w:rPr>
          <w:rFonts w:ascii="Times New Roman" w:hAnsi="Times New Roman" w:cs="Times New Roman"/>
          <w:sz w:val="16"/>
        </w:rPr>
        <w:t xml:space="preserve">over </w:t>
      </w:r>
      <w:r w:rsidR="00E530A7">
        <w:rPr>
          <w:rFonts w:ascii="Times New Roman" w:hAnsi="Times New Roman" w:cs="Times New Roman"/>
          <w:sz w:val="16"/>
        </w:rPr>
        <w:t xml:space="preserve">total </w:t>
      </w:r>
      <w:r w:rsidR="00056731" w:rsidRPr="00EE1141">
        <w:rPr>
          <w:rFonts w:ascii="Times New Roman" w:hAnsi="Times New Roman" w:cs="Times New Roman"/>
          <w:sz w:val="16"/>
        </w:rPr>
        <w:t xml:space="preserve">assets. </w:t>
      </w:r>
      <w:r w:rsidR="00056731">
        <w:rPr>
          <w:rFonts w:ascii="Times New Roman" w:hAnsi="Times New Roman" w:cs="Times New Roman"/>
          <w:sz w:val="16"/>
        </w:rPr>
        <w:t>Leverage</w:t>
      </w:r>
      <w:r w:rsidR="00056731" w:rsidRPr="00EE1141">
        <w:rPr>
          <w:rFonts w:ascii="Times New Roman" w:hAnsi="Times New Roman" w:cs="Times New Roman"/>
          <w:sz w:val="16"/>
        </w:rPr>
        <w:t xml:space="preserve"> </w:t>
      </w:r>
      <w:r w:rsidR="00056731">
        <w:rPr>
          <w:rFonts w:ascii="Times New Roman" w:hAnsi="Times New Roman" w:cs="Times New Roman"/>
          <w:sz w:val="16"/>
        </w:rPr>
        <w:t xml:space="preserve">is </w:t>
      </w:r>
      <w:r w:rsidR="00056731" w:rsidRPr="00EE1141">
        <w:rPr>
          <w:rFonts w:ascii="Times New Roman" w:hAnsi="Times New Roman" w:cs="Times New Roman"/>
          <w:sz w:val="16"/>
        </w:rPr>
        <w:t xml:space="preserve">total debt over total assets. </w:t>
      </w:r>
      <w:r w:rsidR="00056731">
        <w:rPr>
          <w:rFonts w:ascii="Times New Roman" w:hAnsi="Times New Roman" w:cs="Times New Roman"/>
          <w:sz w:val="16"/>
        </w:rPr>
        <w:t xml:space="preserve">Sales </w:t>
      </w:r>
      <w:r w:rsidR="00E530A7">
        <w:rPr>
          <w:rFonts w:ascii="Times New Roman" w:hAnsi="Times New Roman" w:cs="Times New Roman"/>
          <w:sz w:val="16"/>
        </w:rPr>
        <w:t>G</w:t>
      </w:r>
      <w:r w:rsidR="00056731">
        <w:rPr>
          <w:rFonts w:ascii="Times New Roman" w:hAnsi="Times New Roman" w:cs="Times New Roman"/>
          <w:sz w:val="16"/>
        </w:rPr>
        <w:t>rowth</w:t>
      </w:r>
      <w:r w:rsidR="00056731" w:rsidRPr="00EE1141">
        <w:rPr>
          <w:rFonts w:ascii="Times New Roman" w:hAnsi="Times New Roman" w:cs="Times New Roman"/>
          <w:sz w:val="16"/>
        </w:rPr>
        <w:t xml:space="preserve"> is the growth rate of sales from the same fiscal quarter in the previous fiscal year, and </w:t>
      </w:r>
      <w:r w:rsidR="00056731">
        <w:rPr>
          <w:rFonts w:ascii="Times New Roman" w:hAnsi="Times New Roman" w:cs="Times New Roman"/>
          <w:sz w:val="16"/>
        </w:rPr>
        <w:t>t</w:t>
      </w:r>
      <w:r w:rsidR="00E530A7">
        <w:rPr>
          <w:rFonts w:ascii="Times New Roman" w:hAnsi="Times New Roman" w:cs="Times New Roman"/>
          <w:sz w:val="16"/>
        </w:rPr>
        <w:t>he I</w:t>
      </w:r>
      <w:r w:rsidR="00056731" w:rsidRPr="00EE1141">
        <w:rPr>
          <w:rFonts w:ascii="Times New Roman" w:hAnsi="Times New Roman" w:cs="Times New Roman"/>
          <w:sz w:val="16"/>
        </w:rPr>
        <w:t xml:space="preserve">mplicit </w:t>
      </w:r>
      <w:r w:rsidR="00E530A7">
        <w:rPr>
          <w:rFonts w:ascii="Times New Roman" w:hAnsi="Times New Roman" w:cs="Times New Roman"/>
          <w:sz w:val="16"/>
        </w:rPr>
        <w:t>T</w:t>
      </w:r>
      <w:r w:rsidR="00056731" w:rsidRPr="00EE1141">
        <w:rPr>
          <w:rFonts w:ascii="Times New Roman" w:hAnsi="Times New Roman" w:cs="Times New Roman"/>
          <w:sz w:val="16"/>
        </w:rPr>
        <w:t xml:space="preserve">ax </w:t>
      </w:r>
      <w:r w:rsidR="00E530A7">
        <w:rPr>
          <w:rFonts w:ascii="Times New Roman" w:hAnsi="Times New Roman" w:cs="Times New Roman"/>
          <w:sz w:val="16"/>
        </w:rPr>
        <w:t>R</w:t>
      </w:r>
      <w:r w:rsidR="00056731" w:rsidRPr="00EE1141">
        <w:rPr>
          <w:rFonts w:ascii="Times New Roman" w:hAnsi="Times New Roman" w:cs="Times New Roman"/>
          <w:sz w:val="16"/>
        </w:rPr>
        <w:t>ate</w:t>
      </w:r>
      <w:r w:rsidR="00056731">
        <w:rPr>
          <w:rFonts w:ascii="Times New Roman" w:hAnsi="Times New Roman" w:cs="Times New Roman"/>
          <w:sz w:val="16"/>
        </w:rPr>
        <w:t xml:space="preserve"> is</w:t>
      </w:r>
      <w:r w:rsidR="00056731" w:rsidRPr="00EE1141">
        <w:rPr>
          <w:rFonts w:ascii="Times New Roman" w:hAnsi="Times New Roman" w:cs="Times New Roman"/>
          <w:sz w:val="16"/>
        </w:rPr>
        <w:t xml:space="preserve"> defined as annual total income taxes divided by taxable income. </w:t>
      </w:r>
      <w:r w:rsidR="00693E90" w:rsidRPr="00EE1141">
        <w:rPr>
          <w:rFonts w:ascii="Times New Roman" w:hAnsi="Times New Roman" w:cs="Times New Roman"/>
          <w:sz w:val="16"/>
        </w:rPr>
        <w:t>FCF_</w:t>
      </w:r>
      <w:r w:rsidR="00456487" w:rsidRPr="006E7689">
        <w:rPr>
          <w:rFonts w:ascii="Times New Roman" w:hAnsi="Times New Roman" w:cs="Times New Roman"/>
          <w:sz w:val="16"/>
          <w:szCs w:val="16"/>
        </w:rPr>
        <w:t>R</w:t>
      </w:r>
      <w:r w:rsidR="00456487">
        <w:rPr>
          <w:rFonts w:ascii="Times New Roman" w:hAnsi="Times New Roman" w:cs="Times New Roman"/>
          <w:sz w:val="16"/>
          <w:szCs w:val="16"/>
        </w:rPr>
        <w:t>ank</w:t>
      </w:r>
      <w:r w:rsidR="00693E90" w:rsidRPr="00EE1141">
        <w:rPr>
          <w:rFonts w:ascii="Times New Roman" w:hAnsi="Times New Roman" w:cs="Times New Roman"/>
          <w:sz w:val="16"/>
        </w:rPr>
        <w:t>, A</w:t>
      </w:r>
      <w:r w:rsidR="00456487">
        <w:rPr>
          <w:rFonts w:ascii="Times New Roman" w:hAnsi="Times New Roman" w:cs="Times New Roman"/>
          <w:sz w:val="16"/>
        </w:rPr>
        <w:t>ssets</w:t>
      </w:r>
      <w:r w:rsidR="00693E90" w:rsidRPr="00EE1141">
        <w:rPr>
          <w:rFonts w:ascii="Times New Roman" w:hAnsi="Times New Roman" w:cs="Times New Roman"/>
          <w:sz w:val="16"/>
        </w:rPr>
        <w:t>_</w:t>
      </w:r>
      <w:r w:rsidR="00456487" w:rsidRPr="006E7689">
        <w:rPr>
          <w:rFonts w:ascii="Times New Roman" w:hAnsi="Times New Roman" w:cs="Times New Roman"/>
          <w:sz w:val="16"/>
          <w:szCs w:val="16"/>
        </w:rPr>
        <w:t>R</w:t>
      </w:r>
      <w:r w:rsidR="00456487">
        <w:rPr>
          <w:rFonts w:ascii="Times New Roman" w:hAnsi="Times New Roman" w:cs="Times New Roman"/>
          <w:sz w:val="16"/>
          <w:szCs w:val="16"/>
        </w:rPr>
        <w:t>ank</w:t>
      </w:r>
      <w:r w:rsidR="00693E90" w:rsidRPr="00EE1141">
        <w:rPr>
          <w:rFonts w:ascii="Times New Roman" w:hAnsi="Times New Roman" w:cs="Times New Roman"/>
          <w:sz w:val="16"/>
        </w:rPr>
        <w:t xml:space="preserve">, </w:t>
      </w:r>
      <w:r w:rsidR="00456487" w:rsidRPr="006E7689">
        <w:rPr>
          <w:rFonts w:ascii="Times New Roman" w:hAnsi="Times New Roman" w:cs="Times New Roman"/>
          <w:sz w:val="16"/>
          <w:szCs w:val="16"/>
        </w:rPr>
        <w:t>E</w:t>
      </w:r>
      <w:r w:rsidR="00456487">
        <w:rPr>
          <w:rFonts w:ascii="Times New Roman" w:hAnsi="Times New Roman" w:cs="Times New Roman"/>
          <w:sz w:val="16"/>
          <w:szCs w:val="16"/>
        </w:rPr>
        <w:t>mployee</w:t>
      </w:r>
      <w:r w:rsidR="00693E90" w:rsidRPr="00EE1141">
        <w:rPr>
          <w:rFonts w:ascii="Times New Roman" w:hAnsi="Times New Roman" w:cs="Times New Roman"/>
          <w:sz w:val="16"/>
        </w:rPr>
        <w:t>_</w:t>
      </w:r>
      <w:r w:rsidR="00456487" w:rsidRPr="006E7689">
        <w:rPr>
          <w:rFonts w:ascii="Times New Roman" w:hAnsi="Times New Roman" w:cs="Times New Roman"/>
          <w:sz w:val="16"/>
          <w:szCs w:val="16"/>
        </w:rPr>
        <w:t>R</w:t>
      </w:r>
      <w:r w:rsidR="00456487">
        <w:rPr>
          <w:rFonts w:ascii="Times New Roman" w:hAnsi="Times New Roman" w:cs="Times New Roman"/>
          <w:sz w:val="16"/>
          <w:szCs w:val="16"/>
        </w:rPr>
        <w:t>ank</w:t>
      </w:r>
      <w:r w:rsidR="00456487" w:rsidRPr="00EE1141">
        <w:rPr>
          <w:rFonts w:ascii="Times New Roman" w:hAnsi="Times New Roman" w:cs="Times New Roman"/>
          <w:sz w:val="16"/>
        </w:rPr>
        <w:t xml:space="preserve"> </w:t>
      </w:r>
      <w:r w:rsidR="00693E90" w:rsidRPr="00EE1141">
        <w:rPr>
          <w:rFonts w:ascii="Times New Roman" w:hAnsi="Times New Roman" w:cs="Times New Roman"/>
          <w:sz w:val="16"/>
        </w:rPr>
        <w:t xml:space="preserve">are ranking dummies based on quintiles of annual FCF, </w:t>
      </w:r>
      <w:r w:rsidR="00E530A7">
        <w:rPr>
          <w:rFonts w:ascii="Times New Roman" w:hAnsi="Times New Roman" w:cs="Times New Roman"/>
          <w:sz w:val="16"/>
        </w:rPr>
        <w:t>total a</w:t>
      </w:r>
      <w:r w:rsidR="00693E90" w:rsidRPr="00EE1141">
        <w:rPr>
          <w:rFonts w:ascii="Times New Roman" w:hAnsi="Times New Roman" w:cs="Times New Roman"/>
          <w:sz w:val="16"/>
        </w:rPr>
        <w:t>ssets, and number of employees, respectively.</w:t>
      </w:r>
      <w:r w:rsidR="00693E90">
        <w:rPr>
          <w:rFonts w:ascii="Times New Roman" w:hAnsi="Times New Roman" w:cs="Times New Roman"/>
          <w:sz w:val="16"/>
        </w:rPr>
        <w:t xml:space="preserve"> </w:t>
      </w:r>
      <w:r w:rsidRPr="00EE1141">
        <w:rPr>
          <w:rFonts w:ascii="Times New Roman" w:hAnsi="Times New Roman" w:cs="Times New Roman"/>
          <w:sz w:val="16"/>
          <w:szCs w:val="16"/>
        </w:rPr>
        <w:t>Robust standard errors are reported in parentheses. *, **, and *** indicate significance at the 10%, 5%, and 1% level, respectively. Standard errors are clustered at the country level. Firm-level controls are winsorized at the 1% tails. Our sample includes 4</w:t>
      </w:r>
      <w:r w:rsidR="00693E90">
        <w:rPr>
          <w:rFonts w:ascii="Times New Roman" w:hAnsi="Times New Roman" w:cs="Times New Roman"/>
          <w:sz w:val="16"/>
          <w:szCs w:val="16"/>
        </w:rPr>
        <w:t>1</w:t>
      </w:r>
      <w:r w:rsidRPr="00EE1141">
        <w:rPr>
          <w:rFonts w:ascii="Times New Roman" w:hAnsi="Times New Roman" w:cs="Times New Roman"/>
          <w:sz w:val="16"/>
          <w:szCs w:val="16"/>
        </w:rPr>
        <w:t xml:space="preserve"> countries and covers the period 2005-2014 in fiscal years.</w:t>
      </w:r>
    </w:p>
    <w:p w:rsidR="00821BD4" w:rsidRPr="00EE1141" w:rsidRDefault="00821BD4" w:rsidP="00821BD4">
      <w:pPr>
        <w:spacing w:after="0" w:line="240" w:lineRule="auto"/>
        <w:rPr>
          <w:rFonts w:ascii="Times New Roman" w:hAnsi="Times New Roman" w:cs="Times New Roman"/>
          <w:sz w:val="20"/>
          <w:szCs w:val="20"/>
        </w:rPr>
      </w:pPr>
    </w:p>
    <w:tbl>
      <w:tblPr>
        <w:tblW w:w="10368" w:type="dxa"/>
        <w:jc w:val="center"/>
        <w:tblLayout w:type="fixed"/>
        <w:tblCellMar>
          <w:left w:w="75" w:type="dxa"/>
          <w:right w:w="75" w:type="dxa"/>
        </w:tblCellMar>
        <w:tblLook w:val="0000" w:firstRow="0" w:lastRow="0" w:firstColumn="0" w:lastColumn="0" w:noHBand="0" w:noVBand="0"/>
      </w:tblPr>
      <w:tblGrid>
        <w:gridCol w:w="1728"/>
        <w:gridCol w:w="1008"/>
        <w:gridCol w:w="1008"/>
        <w:gridCol w:w="1008"/>
        <w:gridCol w:w="1008"/>
        <w:gridCol w:w="576"/>
        <w:gridCol w:w="1008"/>
        <w:gridCol w:w="1008"/>
        <w:gridCol w:w="1008"/>
        <w:gridCol w:w="1008"/>
      </w:tblGrid>
      <w:tr w:rsidR="00821BD4" w:rsidRPr="005A5576" w:rsidTr="00F33A35">
        <w:trPr>
          <w:trHeight w:val="249"/>
          <w:jc w:val="center"/>
        </w:trPr>
        <w:tc>
          <w:tcPr>
            <w:tcW w:w="10368" w:type="dxa"/>
            <w:gridSpan w:val="10"/>
            <w:tcBorders>
              <w:top w:val="double" w:sz="4" w:space="0" w:color="auto"/>
              <w:left w:val="nil"/>
              <w:bottom w:val="nil"/>
              <w:right w:val="nil"/>
            </w:tcBorders>
          </w:tcPr>
          <w:p w:rsidR="00821BD4" w:rsidRPr="005A5576" w:rsidRDefault="00821BD4" w:rsidP="00E530A7">
            <w:pPr>
              <w:widowControl w:val="0"/>
              <w:autoSpaceDE w:val="0"/>
              <w:autoSpaceDN w:val="0"/>
              <w:adjustRightInd w:val="0"/>
              <w:spacing w:after="0" w:line="240" w:lineRule="auto"/>
              <w:jc w:val="center"/>
              <w:rPr>
                <w:rFonts w:ascii="Times New Roman" w:hAnsi="Times New Roman" w:cs="Times New Roman"/>
                <w:sz w:val="18"/>
                <w:szCs w:val="16"/>
              </w:rPr>
            </w:pPr>
            <w:r w:rsidRPr="005A5576">
              <w:rPr>
                <w:rFonts w:ascii="Times New Roman" w:hAnsi="Times New Roman" w:cs="Times New Roman"/>
                <w:sz w:val="18"/>
                <w:szCs w:val="16"/>
              </w:rPr>
              <w:t xml:space="preserve">Panel A: Regressions of </w:t>
            </w:r>
            <w:r w:rsidR="00E530A7">
              <w:rPr>
                <w:rFonts w:ascii="Times New Roman" w:hAnsi="Times New Roman" w:cs="Times New Roman"/>
                <w:sz w:val="18"/>
                <w:szCs w:val="16"/>
              </w:rPr>
              <w:t>C</w:t>
            </w:r>
            <w:r w:rsidRPr="005A5576">
              <w:rPr>
                <w:rFonts w:ascii="Times New Roman" w:hAnsi="Times New Roman" w:cs="Times New Roman"/>
                <w:sz w:val="18"/>
                <w:szCs w:val="16"/>
              </w:rPr>
              <w:t xml:space="preserve">apital </w:t>
            </w:r>
            <w:r w:rsidR="00E530A7">
              <w:rPr>
                <w:rFonts w:ascii="Times New Roman" w:hAnsi="Times New Roman" w:cs="Times New Roman"/>
                <w:sz w:val="18"/>
                <w:szCs w:val="16"/>
              </w:rPr>
              <w:t>Expenditure on the I</w:t>
            </w:r>
            <w:r w:rsidRPr="005A5576">
              <w:rPr>
                <w:rFonts w:ascii="Times New Roman" w:hAnsi="Times New Roman" w:cs="Times New Roman"/>
                <w:sz w:val="18"/>
                <w:szCs w:val="16"/>
              </w:rPr>
              <w:t xml:space="preserve">nteraction of </w:t>
            </w:r>
            <w:r w:rsidR="00E530A7">
              <w:rPr>
                <w:rFonts w:ascii="Times New Roman" w:hAnsi="Times New Roman" w:cs="Times New Roman"/>
                <w:sz w:val="18"/>
                <w:szCs w:val="16"/>
              </w:rPr>
              <w:t>F</w:t>
            </w:r>
            <w:r w:rsidRPr="005A5576">
              <w:rPr>
                <w:rFonts w:ascii="Times New Roman" w:hAnsi="Times New Roman" w:cs="Times New Roman"/>
                <w:sz w:val="18"/>
                <w:szCs w:val="16"/>
              </w:rPr>
              <w:t xml:space="preserve">irm-level </w:t>
            </w:r>
            <w:r w:rsidR="00E530A7">
              <w:rPr>
                <w:rFonts w:ascii="Times New Roman" w:hAnsi="Times New Roman" w:cs="Times New Roman"/>
                <w:sz w:val="18"/>
                <w:szCs w:val="16"/>
              </w:rPr>
              <w:t>V</w:t>
            </w:r>
            <w:r w:rsidRPr="005A5576">
              <w:rPr>
                <w:rFonts w:ascii="Times New Roman" w:hAnsi="Times New Roman" w:cs="Times New Roman"/>
                <w:sz w:val="18"/>
                <w:szCs w:val="16"/>
              </w:rPr>
              <w:t>ariable and 4</w:t>
            </w:r>
            <w:r w:rsidRPr="005A5576">
              <w:rPr>
                <w:rFonts w:ascii="Times New Roman" w:hAnsi="Times New Roman" w:cs="Times New Roman"/>
                <w:sz w:val="18"/>
                <w:szCs w:val="16"/>
                <w:vertAlign w:val="superscript"/>
              </w:rPr>
              <w:t>th</w:t>
            </w:r>
            <w:r w:rsidRPr="005A5576">
              <w:rPr>
                <w:rFonts w:ascii="Times New Roman" w:hAnsi="Times New Roman" w:cs="Times New Roman"/>
                <w:sz w:val="18"/>
                <w:szCs w:val="16"/>
              </w:rPr>
              <w:t xml:space="preserve"> </w:t>
            </w:r>
            <w:r w:rsidR="00E530A7">
              <w:rPr>
                <w:rFonts w:ascii="Times New Roman" w:hAnsi="Times New Roman" w:cs="Times New Roman"/>
                <w:sz w:val="18"/>
                <w:szCs w:val="16"/>
              </w:rPr>
              <w:t>F</w:t>
            </w:r>
            <w:r w:rsidRPr="005A5576">
              <w:rPr>
                <w:rFonts w:ascii="Times New Roman" w:hAnsi="Times New Roman" w:cs="Times New Roman"/>
                <w:sz w:val="18"/>
                <w:szCs w:val="16"/>
              </w:rPr>
              <w:t xml:space="preserve">iscal </w:t>
            </w:r>
            <w:r w:rsidR="00E530A7">
              <w:rPr>
                <w:rFonts w:ascii="Times New Roman" w:hAnsi="Times New Roman" w:cs="Times New Roman"/>
                <w:sz w:val="18"/>
                <w:szCs w:val="16"/>
              </w:rPr>
              <w:t>Q</w:t>
            </w:r>
            <w:r w:rsidRPr="005A5576">
              <w:rPr>
                <w:rFonts w:ascii="Times New Roman" w:hAnsi="Times New Roman" w:cs="Times New Roman"/>
                <w:sz w:val="18"/>
                <w:szCs w:val="16"/>
              </w:rPr>
              <w:t xml:space="preserve">uarter </w:t>
            </w:r>
            <w:r w:rsidR="00E530A7">
              <w:rPr>
                <w:rFonts w:ascii="Times New Roman" w:hAnsi="Times New Roman" w:cs="Times New Roman"/>
                <w:sz w:val="18"/>
                <w:szCs w:val="16"/>
              </w:rPr>
              <w:t>D</w:t>
            </w:r>
            <w:r w:rsidRPr="005A5576">
              <w:rPr>
                <w:rFonts w:ascii="Times New Roman" w:hAnsi="Times New Roman" w:cs="Times New Roman"/>
                <w:sz w:val="18"/>
                <w:szCs w:val="16"/>
              </w:rPr>
              <w:t>ummy</w:t>
            </w:r>
          </w:p>
        </w:tc>
      </w:tr>
      <w:tr w:rsidR="00821BD4" w:rsidRPr="006E7689" w:rsidTr="00231F5E">
        <w:trPr>
          <w:trHeight w:val="282"/>
          <w:jc w:val="center"/>
        </w:trPr>
        <w:tc>
          <w:tcPr>
            <w:tcW w:w="1728" w:type="dxa"/>
            <w:tcBorders>
              <w:top w:val="single" w:sz="6" w:space="0" w:color="auto"/>
              <w:left w:val="nil"/>
              <w:bottom w:val="nil"/>
              <w:right w:val="nil"/>
            </w:tcBorders>
            <w:vAlign w:val="bottom"/>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4032" w:type="dxa"/>
            <w:gridSpan w:val="4"/>
            <w:tcBorders>
              <w:top w:val="single" w:sz="6" w:space="0" w:color="auto"/>
              <w:left w:val="nil"/>
              <w:bottom w:val="single" w:sz="4" w:space="0" w:color="auto"/>
              <w:right w:val="nil"/>
            </w:tcBorders>
            <w:vAlign w:val="bottom"/>
          </w:tcPr>
          <w:p w:rsidR="00821BD4" w:rsidRPr="006E7689" w:rsidRDefault="006E7689" w:rsidP="003465DB">
            <w:pPr>
              <w:widowControl w:val="0"/>
              <w:autoSpaceDE w:val="0"/>
              <w:autoSpaceDN w:val="0"/>
              <w:adjustRightInd w:val="0"/>
              <w:spacing w:after="0" w:line="240" w:lineRule="auto"/>
              <w:jc w:val="center"/>
              <w:rPr>
                <w:rFonts w:ascii="Times New Roman" w:hAnsi="Times New Roman" w:cs="Times New Roman"/>
                <w:sz w:val="16"/>
                <w:szCs w:val="16"/>
              </w:rPr>
            </w:pPr>
            <w:r w:rsidRPr="00050F48">
              <w:rPr>
                <w:rFonts w:ascii="Times New Roman" w:hAnsi="Times New Roman" w:cs="Times New Roman"/>
                <w:sz w:val="18"/>
                <w:szCs w:val="16"/>
              </w:rPr>
              <w:t>D</w:t>
            </w:r>
            <w:r w:rsidR="00821BD4" w:rsidRPr="00050F48">
              <w:rPr>
                <w:rFonts w:ascii="Times New Roman" w:hAnsi="Times New Roman" w:cs="Times New Roman"/>
                <w:sz w:val="18"/>
                <w:szCs w:val="16"/>
              </w:rPr>
              <w:t>ependent Variable: CapEx</w:t>
            </w:r>
          </w:p>
        </w:tc>
        <w:tc>
          <w:tcPr>
            <w:tcW w:w="576" w:type="dxa"/>
            <w:tcBorders>
              <w:top w:val="single" w:sz="6" w:space="0" w:color="auto"/>
              <w:left w:val="nil"/>
              <w:bottom w:val="nil"/>
              <w:right w:val="nil"/>
            </w:tcBorders>
            <w:vAlign w:val="bottom"/>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4032" w:type="dxa"/>
            <w:gridSpan w:val="4"/>
            <w:tcBorders>
              <w:top w:val="single" w:sz="6" w:space="0" w:color="auto"/>
              <w:left w:val="nil"/>
              <w:bottom w:val="single" w:sz="4" w:space="0" w:color="auto"/>
              <w:right w:val="nil"/>
            </w:tcBorders>
            <w:vAlign w:val="bottom"/>
          </w:tcPr>
          <w:p w:rsidR="00821BD4" w:rsidRPr="006E7689" w:rsidRDefault="006E7689" w:rsidP="003465DB">
            <w:pPr>
              <w:widowControl w:val="0"/>
              <w:autoSpaceDE w:val="0"/>
              <w:autoSpaceDN w:val="0"/>
              <w:adjustRightInd w:val="0"/>
              <w:spacing w:after="0" w:line="240" w:lineRule="auto"/>
              <w:jc w:val="center"/>
              <w:rPr>
                <w:rFonts w:ascii="Times New Roman" w:hAnsi="Times New Roman" w:cs="Times New Roman"/>
                <w:sz w:val="16"/>
                <w:szCs w:val="16"/>
              </w:rPr>
            </w:pPr>
            <w:r w:rsidRPr="00050F48">
              <w:rPr>
                <w:rFonts w:ascii="Times New Roman" w:hAnsi="Times New Roman" w:cs="Times New Roman"/>
                <w:sz w:val="18"/>
                <w:szCs w:val="16"/>
              </w:rPr>
              <w:t>D</w:t>
            </w:r>
            <w:r w:rsidR="00821BD4" w:rsidRPr="00050F48">
              <w:rPr>
                <w:rFonts w:ascii="Times New Roman" w:hAnsi="Times New Roman" w:cs="Times New Roman"/>
                <w:sz w:val="18"/>
                <w:szCs w:val="16"/>
              </w:rPr>
              <w:t>ependent Variable: CapEx_PPE</w:t>
            </w:r>
          </w:p>
        </w:tc>
      </w:tr>
      <w:tr w:rsidR="00821BD4" w:rsidRPr="006E7689" w:rsidTr="00231F5E">
        <w:trPr>
          <w:jc w:val="center"/>
        </w:trPr>
        <w:tc>
          <w:tcPr>
            <w:tcW w:w="1728" w:type="dxa"/>
            <w:tcBorders>
              <w:top w:val="nil"/>
              <w:left w:val="nil"/>
              <w:bottom w:val="single" w:sz="6" w:space="0" w:color="auto"/>
              <w:right w:val="nil"/>
            </w:tcBorders>
          </w:tcPr>
          <w:p w:rsidR="00821BD4" w:rsidRPr="006E7689" w:rsidRDefault="00821BD4" w:rsidP="003465DB">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single" w:sz="4" w:space="0" w:color="auto"/>
              <w:left w:val="nil"/>
              <w:bottom w:val="single" w:sz="6" w:space="0" w:color="auto"/>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(1)</w:t>
            </w:r>
          </w:p>
        </w:tc>
        <w:tc>
          <w:tcPr>
            <w:tcW w:w="1008" w:type="dxa"/>
            <w:tcBorders>
              <w:top w:val="single" w:sz="4" w:space="0" w:color="auto"/>
              <w:left w:val="nil"/>
              <w:bottom w:val="single" w:sz="6" w:space="0" w:color="auto"/>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(2)</w:t>
            </w:r>
          </w:p>
        </w:tc>
        <w:tc>
          <w:tcPr>
            <w:tcW w:w="1008" w:type="dxa"/>
            <w:tcBorders>
              <w:top w:val="single" w:sz="4" w:space="0" w:color="auto"/>
              <w:left w:val="nil"/>
              <w:bottom w:val="single" w:sz="6" w:space="0" w:color="auto"/>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(3)</w:t>
            </w:r>
          </w:p>
        </w:tc>
        <w:tc>
          <w:tcPr>
            <w:tcW w:w="1008" w:type="dxa"/>
            <w:tcBorders>
              <w:top w:val="single" w:sz="4" w:space="0" w:color="auto"/>
              <w:left w:val="nil"/>
              <w:bottom w:val="single" w:sz="6" w:space="0" w:color="auto"/>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(4)</w:t>
            </w:r>
          </w:p>
        </w:tc>
        <w:tc>
          <w:tcPr>
            <w:tcW w:w="576" w:type="dxa"/>
            <w:tcBorders>
              <w:top w:val="nil"/>
              <w:left w:val="nil"/>
              <w:bottom w:val="single" w:sz="6" w:space="0" w:color="auto"/>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single" w:sz="4" w:space="0" w:color="auto"/>
              <w:left w:val="nil"/>
              <w:bottom w:val="single" w:sz="6" w:space="0" w:color="auto"/>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(5)</w:t>
            </w:r>
          </w:p>
        </w:tc>
        <w:tc>
          <w:tcPr>
            <w:tcW w:w="1008" w:type="dxa"/>
            <w:tcBorders>
              <w:top w:val="single" w:sz="4" w:space="0" w:color="auto"/>
              <w:left w:val="nil"/>
              <w:bottom w:val="single" w:sz="6" w:space="0" w:color="auto"/>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(6)</w:t>
            </w:r>
          </w:p>
        </w:tc>
        <w:tc>
          <w:tcPr>
            <w:tcW w:w="1008" w:type="dxa"/>
            <w:tcBorders>
              <w:top w:val="single" w:sz="4" w:space="0" w:color="auto"/>
              <w:left w:val="nil"/>
              <w:bottom w:val="single" w:sz="6" w:space="0" w:color="auto"/>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(7)</w:t>
            </w:r>
          </w:p>
        </w:tc>
        <w:tc>
          <w:tcPr>
            <w:tcW w:w="1008" w:type="dxa"/>
            <w:tcBorders>
              <w:top w:val="single" w:sz="4" w:space="0" w:color="auto"/>
              <w:left w:val="nil"/>
              <w:bottom w:val="single" w:sz="6" w:space="0" w:color="auto"/>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(8)</w:t>
            </w:r>
          </w:p>
        </w:tc>
      </w:tr>
      <w:tr w:rsidR="00821BD4" w:rsidRPr="006E7689" w:rsidTr="00231F5E">
        <w:trPr>
          <w:jc w:val="center"/>
        </w:trPr>
        <w:tc>
          <w:tcPr>
            <w:tcW w:w="172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576"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r w:rsidRPr="006E7689">
              <w:rPr>
                <w:rFonts w:ascii="Times New Roman" w:hAnsi="Times New Roman" w:cs="Times New Roman"/>
                <w:sz w:val="16"/>
                <w:szCs w:val="16"/>
              </w:rPr>
              <w:t>C</w:t>
            </w:r>
            <w:r>
              <w:rPr>
                <w:rFonts w:ascii="Times New Roman" w:hAnsi="Times New Roman" w:cs="Times New Roman"/>
                <w:sz w:val="16"/>
                <w:szCs w:val="16"/>
              </w:rPr>
              <w:t xml:space="preserve">ash </w:t>
            </w:r>
            <w:r w:rsidRPr="006E7689">
              <w:rPr>
                <w:rFonts w:ascii="Times New Roman" w:hAnsi="Times New Roman" w:cs="Times New Roman"/>
                <w:sz w:val="16"/>
                <w:szCs w:val="16"/>
              </w:rPr>
              <w:t>F</w:t>
            </w:r>
            <w:r>
              <w:rPr>
                <w:rFonts w:ascii="Times New Roman" w:hAnsi="Times New Roman" w:cs="Times New Roman"/>
                <w:sz w:val="16"/>
                <w:szCs w:val="16"/>
              </w:rPr>
              <w:t>low</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1.037***</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0.593***</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0.936***</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0.900***</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7.481***</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4.519***</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6.099***</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5.325***</w:t>
            </w: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(0.150)</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(0.0985)</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(0.107)</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(0.0769)</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(0.551)</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(0.471)</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(0.481)</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(0.556)</w:t>
            </w:r>
          </w:p>
        </w:tc>
      </w:tr>
      <w:tr w:rsidR="003C2993" w:rsidRPr="006E7689" w:rsidTr="00231F5E">
        <w:trPr>
          <w:jc w:val="center"/>
        </w:trPr>
        <w:tc>
          <w:tcPr>
            <w:tcW w:w="1728" w:type="dxa"/>
            <w:tcBorders>
              <w:top w:val="nil"/>
              <w:left w:val="nil"/>
              <w:bottom w:val="nil"/>
              <w:right w:val="nil"/>
            </w:tcBorders>
          </w:tcPr>
          <w:p w:rsidR="003C2993" w:rsidRPr="00056731" w:rsidRDefault="003C2993" w:rsidP="003465DB">
            <w:pPr>
              <w:widowControl w:val="0"/>
              <w:autoSpaceDE w:val="0"/>
              <w:autoSpaceDN w:val="0"/>
              <w:adjustRightInd w:val="0"/>
              <w:spacing w:after="0" w:line="240" w:lineRule="auto"/>
              <w:rPr>
                <w:rFonts w:ascii="Times New Roman" w:hAnsi="Times New Roman" w:cs="Times New Roman"/>
                <w:sz w:val="15"/>
                <w:szCs w:val="15"/>
              </w:rPr>
            </w:pPr>
            <w:r w:rsidRPr="00056731">
              <w:rPr>
                <w:rFonts w:ascii="Times New Roman" w:hAnsi="Times New Roman" w:cs="Times New Roman"/>
                <w:sz w:val="15"/>
                <w:szCs w:val="15"/>
              </w:rPr>
              <w:t>Change in Cash Holdings</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-1.646***</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-1.653***</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-1.614***</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-11.50***</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-11.51***</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-11.73***</w:t>
            </w: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(0.0830)</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(0.0830)</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(0.0657)</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(0.734)</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(0.727)</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(0.765)</w:t>
            </w: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Tobin’s </w:t>
            </w:r>
            <w:r w:rsidRPr="006E7689">
              <w:rPr>
                <w:rFonts w:ascii="Times New Roman" w:hAnsi="Times New Roman" w:cs="Times New Roman"/>
                <w:sz w:val="16"/>
                <w:szCs w:val="16"/>
              </w:rPr>
              <w:t>q</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0.161***</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0.139***</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0.147***</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0.149***</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1.023***</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0.891***</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0.935***</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1.026***</w:t>
            </w: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(0.00956)</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(0.00832)</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(0.00788)</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(0.00681)</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(0.107)</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(0.109)</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(0.118)</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(0.0923)</w:t>
            </w: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Sales Growth</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0.0942***</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0.0710***</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0.0687***</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0.872***</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0.766***</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0.846***</w:t>
            </w: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(0.00985)</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(0.00993)</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(0.0104)</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(0.0923)</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(0.0818)</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(0.0800)</w:t>
            </w: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Leverage</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-0.892***</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-1.024***</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-1.008***</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-4.805***</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-5.471***</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-4.852***</w:t>
            </w: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(0.129)</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(0.133)</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(0.132)</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(1.152)</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(1.106)</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(0.917)</w:t>
            </w: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Implicit Tax Rate</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-0.00992</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-0.00679</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-0.00273</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-0.137***</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-0.115***</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-0.0577</w:t>
            </w: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917157">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(0.007</w:t>
            </w:r>
            <w:r w:rsidR="00917157">
              <w:rPr>
                <w:rFonts w:ascii="Times New Roman" w:hAnsi="Times New Roman" w:cs="Times New Roman"/>
                <w:sz w:val="16"/>
                <w:szCs w:val="16"/>
              </w:rPr>
              <w:t>7</w:t>
            </w:r>
            <w:r w:rsidRPr="003C2993">
              <w:rPr>
                <w:rFonts w:ascii="Times New Roman" w:hAnsi="Times New Roman" w:cs="Times New Roman"/>
                <w:sz w:val="16"/>
                <w:szCs w:val="16"/>
              </w:rPr>
              <w:t>)</w:t>
            </w:r>
          </w:p>
        </w:tc>
        <w:tc>
          <w:tcPr>
            <w:tcW w:w="1008" w:type="dxa"/>
            <w:tcBorders>
              <w:top w:val="nil"/>
              <w:left w:val="nil"/>
              <w:bottom w:val="nil"/>
              <w:right w:val="nil"/>
            </w:tcBorders>
          </w:tcPr>
          <w:p w:rsidR="003C2993" w:rsidRPr="003C2993" w:rsidRDefault="003C2993" w:rsidP="00917157">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(0.008</w:t>
            </w:r>
            <w:r w:rsidR="00917157">
              <w:rPr>
                <w:rFonts w:ascii="Times New Roman" w:hAnsi="Times New Roman" w:cs="Times New Roman"/>
                <w:sz w:val="16"/>
                <w:szCs w:val="16"/>
              </w:rPr>
              <w:t>1</w:t>
            </w:r>
            <w:r w:rsidRPr="003C2993">
              <w:rPr>
                <w:rFonts w:ascii="Times New Roman" w:hAnsi="Times New Roman" w:cs="Times New Roman"/>
                <w:sz w:val="16"/>
                <w:szCs w:val="16"/>
              </w:rPr>
              <w:t>)</w:t>
            </w:r>
          </w:p>
        </w:tc>
        <w:tc>
          <w:tcPr>
            <w:tcW w:w="1008" w:type="dxa"/>
            <w:tcBorders>
              <w:top w:val="nil"/>
              <w:left w:val="nil"/>
              <w:bottom w:val="nil"/>
              <w:right w:val="nil"/>
            </w:tcBorders>
          </w:tcPr>
          <w:p w:rsidR="003C2993" w:rsidRPr="003C2993" w:rsidRDefault="003C2993" w:rsidP="00917157">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(0.006</w:t>
            </w:r>
            <w:r w:rsidR="00917157">
              <w:rPr>
                <w:rFonts w:ascii="Times New Roman" w:hAnsi="Times New Roman" w:cs="Times New Roman"/>
                <w:sz w:val="16"/>
                <w:szCs w:val="16"/>
              </w:rPr>
              <w:t>5</w:t>
            </w:r>
            <w:r w:rsidRPr="003C2993">
              <w:rPr>
                <w:rFonts w:ascii="Times New Roman" w:hAnsi="Times New Roman" w:cs="Times New Roman"/>
                <w:sz w:val="16"/>
                <w:szCs w:val="16"/>
              </w:rPr>
              <w:t>)</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(0.0370)</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(0.0409)</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(0.0411)</w:t>
            </w: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r w:rsidRPr="006E7689">
              <w:rPr>
                <w:rFonts w:ascii="Times New Roman" w:hAnsi="Times New Roman" w:cs="Times New Roman"/>
                <w:sz w:val="16"/>
                <w:szCs w:val="16"/>
              </w:rPr>
              <w:t>Q4 Dummy</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0.151***</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0.114***</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0.127***</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0.0759***</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0.787***</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0.775***</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0.661***</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0.512***</w:t>
            </w: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(0.0236)</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(0.0161)</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(0.0388)</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(0.0192)</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(0.102)</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(0.126)</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(0.168)</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(0.117)</w:t>
            </w:r>
          </w:p>
        </w:tc>
      </w:tr>
      <w:tr w:rsidR="003C2993" w:rsidRPr="006E7689" w:rsidTr="003C2993">
        <w:trPr>
          <w:jc w:val="center"/>
        </w:trPr>
        <w:tc>
          <w:tcPr>
            <w:tcW w:w="1728" w:type="dxa"/>
            <w:tcBorders>
              <w:top w:val="nil"/>
              <w:left w:val="nil"/>
              <w:bottom w:val="nil"/>
              <w:right w:val="nil"/>
            </w:tcBorders>
          </w:tcPr>
          <w:p w:rsidR="003C2993" w:rsidRPr="006E7689" w:rsidRDefault="003C2993" w:rsidP="00231F5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Implicit Tax Rate</w:t>
            </w:r>
            <w:r w:rsidRPr="006E7689">
              <w:rPr>
                <w:rFonts w:ascii="Times New Roman" w:hAnsi="Times New Roman" w:cs="Times New Roman"/>
                <w:sz w:val="16"/>
                <w:szCs w:val="16"/>
              </w:rPr>
              <w:t xml:space="preserve"> ×</w:t>
            </w:r>
            <w:r>
              <w:rPr>
                <w:rFonts w:ascii="Times New Roman" w:hAnsi="Times New Roman" w:cs="Times New Roman"/>
                <w:sz w:val="16"/>
                <w:szCs w:val="16"/>
              </w:rPr>
              <w:t>Q</w:t>
            </w:r>
            <w:r w:rsidRPr="006E7689">
              <w:rPr>
                <w:rFonts w:ascii="Times New Roman" w:hAnsi="Times New Roman" w:cs="Times New Roman"/>
                <w:sz w:val="16"/>
                <w:szCs w:val="16"/>
              </w:rPr>
              <w:t>4</w:t>
            </w:r>
            <w:r>
              <w:rPr>
                <w:rFonts w:ascii="Times New Roman" w:hAnsi="Times New Roman" w:cs="Times New Roman"/>
                <w:sz w:val="16"/>
                <w:szCs w:val="16"/>
              </w:rPr>
              <w:t xml:space="preserve"> Dummy</w:t>
            </w: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0.0261**</w:t>
            </w: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0.0294**</w:t>
            </w: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0.0155</w:t>
            </w:r>
          </w:p>
        </w:tc>
        <w:tc>
          <w:tcPr>
            <w:tcW w:w="576" w:type="dxa"/>
            <w:tcBorders>
              <w:top w:val="nil"/>
              <w:left w:val="nil"/>
              <w:bottom w:val="nil"/>
              <w:right w:val="nil"/>
            </w:tcBorders>
            <w:vAlign w:val="bottom"/>
          </w:tcPr>
          <w:p w:rsidR="003C2993" w:rsidRPr="006E7689" w:rsidRDefault="003C2993" w:rsidP="00056731">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0.185***</w:t>
            </w: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0.166***</w:t>
            </w: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0.125***</w:t>
            </w:r>
          </w:p>
        </w:tc>
      </w:tr>
      <w:tr w:rsidR="003C2993" w:rsidRPr="006E7689" w:rsidTr="00141388">
        <w:trPr>
          <w:trHeight w:val="306"/>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(0.0119)</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(0.0140)</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(0.0114)</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(0.0482)</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(0.0457)</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(0.0425)</w:t>
            </w:r>
          </w:p>
        </w:tc>
      </w:tr>
      <w:tr w:rsidR="003C2993" w:rsidRPr="006E7689" w:rsidTr="00231F5E">
        <w:trPr>
          <w:jc w:val="center"/>
        </w:trPr>
        <w:tc>
          <w:tcPr>
            <w:tcW w:w="1728" w:type="dxa"/>
            <w:tcBorders>
              <w:top w:val="nil"/>
              <w:left w:val="nil"/>
              <w:bottom w:val="nil"/>
              <w:right w:val="nil"/>
            </w:tcBorders>
          </w:tcPr>
          <w:p w:rsidR="003C2993" w:rsidRPr="006E7689" w:rsidRDefault="003C2993" w:rsidP="00456487">
            <w:pPr>
              <w:widowControl w:val="0"/>
              <w:autoSpaceDE w:val="0"/>
              <w:autoSpaceDN w:val="0"/>
              <w:adjustRightInd w:val="0"/>
              <w:spacing w:after="0" w:line="240" w:lineRule="auto"/>
              <w:rPr>
                <w:rFonts w:ascii="Times New Roman" w:hAnsi="Times New Roman" w:cs="Times New Roman"/>
                <w:sz w:val="16"/>
                <w:szCs w:val="16"/>
              </w:rPr>
            </w:pPr>
            <w:r w:rsidRPr="006E7689">
              <w:rPr>
                <w:rFonts w:ascii="Times New Roman" w:hAnsi="Times New Roman" w:cs="Times New Roman"/>
                <w:sz w:val="16"/>
                <w:szCs w:val="16"/>
              </w:rPr>
              <w:t>FCF_R</w:t>
            </w:r>
            <w:r>
              <w:rPr>
                <w:rFonts w:ascii="Times New Roman" w:hAnsi="Times New Roman" w:cs="Times New Roman"/>
                <w:sz w:val="16"/>
                <w:szCs w:val="16"/>
              </w:rPr>
              <w:t>ank</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A908EF">
              <w:rPr>
                <w:rFonts w:ascii="Times New Roman" w:hAnsi="Times New Roman" w:cs="Times New Roman"/>
                <w:sz w:val="16"/>
                <w:szCs w:val="16"/>
              </w:rPr>
              <w:t>0.0690***</w:t>
            </w: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576" w:type="dxa"/>
            <w:tcBorders>
              <w:top w:val="nil"/>
              <w:left w:val="nil"/>
              <w:bottom w:val="nil"/>
              <w:right w:val="nil"/>
            </w:tcBorders>
          </w:tcPr>
          <w:p w:rsidR="003C2993" w:rsidRPr="00A908EF"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A908EF">
              <w:rPr>
                <w:rFonts w:ascii="Times New Roman" w:hAnsi="Times New Roman" w:cs="Times New Roman"/>
                <w:sz w:val="16"/>
                <w:szCs w:val="16"/>
              </w:rPr>
              <w:t>0.338***</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917157">
            <w:pPr>
              <w:widowControl w:val="0"/>
              <w:autoSpaceDE w:val="0"/>
              <w:autoSpaceDN w:val="0"/>
              <w:adjustRightInd w:val="0"/>
              <w:spacing w:after="0" w:line="240" w:lineRule="auto"/>
              <w:jc w:val="center"/>
              <w:rPr>
                <w:rFonts w:ascii="Times New Roman" w:hAnsi="Times New Roman" w:cs="Times New Roman"/>
                <w:sz w:val="16"/>
                <w:szCs w:val="16"/>
              </w:rPr>
            </w:pPr>
            <w:r w:rsidRPr="00A908EF">
              <w:rPr>
                <w:rFonts w:ascii="Times New Roman" w:hAnsi="Times New Roman" w:cs="Times New Roman"/>
                <w:sz w:val="16"/>
                <w:szCs w:val="16"/>
              </w:rPr>
              <w:t>(0.0041)</w:t>
            </w: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576" w:type="dxa"/>
            <w:tcBorders>
              <w:top w:val="nil"/>
              <w:left w:val="nil"/>
              <w:bottom w:val="nil"/>
              <w:right w:val="nil"/>
            </w:tcBorders>
          </w:tcPr>
          <w:p w:rsidR="003C2993" w:rsidRPr="00A908EF"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A908EF">
              <w:rPr>
                <w:rFonts w:ascii="Times New Roman" w:hAnsi="Times New Roman" w:cs="Times New Roman"/>
                <w:sz w:val="16"/>
                <w:szCs w:val="16"/>
              </w:rPr>
              <w:t>(0.0272)</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r>
      <w:tr w:rsidR="003C2993" w:rsidRPr="006E7689" w:rsidTr="00231F5E">
        <w:trPr>
          <w:jc w:val="center"/>
        </w:trPr>
        <w:tc>
          <w:tcPr>
            <w:tcW w:w="1728" w:type="dxa"/>
            <w:tcBorders>
              <w:top w:val="nil"/>
              <w:left w:val="nil"/>
              <w:bottom w:val="nil"/>
              <w:right w:val="nil"/>
            </w:tcBorders>
          </w:tcPr>
          <w:p w:rsidR="003C2993" w:rsidRPr="00231F5E" w:rsidRDefault="003C2993" w:rsidP="00456487">
            <w:pPr>
              <w:widowControl w:val="0"/>
              <w:autoSpaceDE w:val="0"/>
              <w:autoSpaceDN w:val="0"/>
              <w:adjustRightInd w:val="0"/>
              <w:spacing w:after="0" w:line="240" w:lineRule="auto"/>
              <w:rPr>
                <w:rFonts w:ascii="Times New Roman" w:hAnsi="Times New Roman" w:cs="Times New Roman"/>
                <w:sz w:val="14"/>
                <w:szCs w:val="16"/>
              </w:rPr>
            </w:pPr>
            <w:r w:rsidRPr="00231F5E">
              <w:rPr>
                <w:rFonts w:ascii="Times New Roman" w:hAnsi="Times New Roman" w:cs="Times New Roman"/>
                <w:sz w:val="14"/>
                <w:szCs w:val="16"/>
              </w:rPr>
              <w:t>FCF_</w:t>
            </w:r>
            <w:r w:rsidRPr="006E7689">
              <w:rPr>
                <w:rFonts w:ascii="Times New Roman" w:hAnsi="Times New Roman" w:cs="Times New Roman"/>
                <w:sz w:val="16"/>
                <w:szCs w:val="16"/>
              </w:rPr>
              <w:t>R</w:t>
            </w:r>
            <w:r>
              <w:rPr>
                <w:rFonts w:ascii="Times New Roman" w:hAnsi="Times New Roman" w:cs="Times New Roman"/>
                <w:sz w:val="16"/>
                <w:szCs w:val="16"/>
              </w:rPr>
              <w:t>ank</w:t>
            </w:r>
            <w:r w:rsidRPr="00231F5E">
              <w:rPr>
                <w:rFonts w:ascii="Times New Roman" w:hAnsi="Times New Roman" w:cs="Times New Roman"/>
                <w:sz w:val="14"/>
                <w:szCs w:val="16"/>
              </w:rPr>
              <w:t xml:space="preserve"> ×Q4 Dummy</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A908EF">
              <w:rPr>
                <w:rFonts w:ascii="Times New Roman" w:hAnsi="Times New Roman" w:cs="Times New Roman"/>
                <w:sz w:val="16"/>
                <w:szCs w:val="16"/>
              </w:rPr>
              <w:t>0.0208***</w:t>
            </w: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576" w:type="dxa"/>
            <w:tcBorders>
              <w:top w:val="nil"/>
              <w:left w:val="nil"/>
              <w:bottom w:val="nil"/>
              <w:right w:val="nil"/>
            </w:tcBorders>
          </w:tcPr>
          <w:p w:rsidR="003C2993" w:rsidRPr="00A908EF"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A908EF">
              <w:rPr>
                <w:rFonts w:ascii="Times New Roman" w:hAnsi="Times New Roman" w:cs="Times New Roman"/>
                <w:sz w:val="16"/>
                <w:szCs w:val="16"/>
              </w:rPr>
              <w:t>0.0315</w:t>
            </w:r>
            <w:r w:rsidR="00A908EF" w:rsidRPr="00A908EF">
              <w:rPr>
                <w:rFonts w:ascii="Times New Roman" w:hAnsi="Times New Roman" w:cs="Times New Roman"/>
                <w:sz w:val="16"/>
                <w:szCs w:val="16"/>
              </w:rPr>
              <w:t>*</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917157">
            <w:pPr>
              <w:widowControl w:val="0"/>
              <w:autoSpaceDE w:val="0"/>
              <w:autoSpaceDN w:val="0"/>
              <w:adjustRightInd w:val="0"/>
              <w:spacing w:after="0" w:line="240" w:lineRule="auto"/>
              <w:jc w:val="center"/>
              <w:rPr>
                <w:rFonts w:ascii="Times New Roman" w:hAnsi="Times New Roman" w:cs="Times New Roman"/>
                <w:sz w:val="16"/>
                <w:szCs w:val="16"/>
              </w:rPr>
            </w:pPr>
            <w:r w:rsidRPr="00A908EF">
              <w:rPr>
                <w:rFonts w:ascii="Times New Roman" w:hAnsi="Times New Roman" w:cs="Times New Roman"/>
                <w:sz w:val="16"/>
                <w:szCs w:val="16"/>
              </w:rPr>
              <w:t>(0.0065)</w:t>
            </w: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576" w:type="dxa"/>
            <w:tcBorders>
              <w:top w:val="nil"/>
              <w:left w:val="nil"/>
              <w:bottom w:val="nil"/>
              <w:right w:val="nil"/>
            </w:tcBorders>
          </w:tcPr>
          <w:p w:rsidR="003C2993" w:rsidRPr="00A908EF"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A908EF">
            <w:pPr>
              <w:widowControl w:val="0"/>
              <w:autoSpaceDE w:val="0"/>
              <w:autoSpaceDN w:val="0"/>
              <w:adjustRightInd w:val="0"/>
              <w:spacing w:after="0" w:line="240" w:lineRule="auto"/>
              <w:jc w:val="center"/>
              <w:rPr>
                <w:rFonts w:ascii="Times New Roman" w:hAnsi="Times New Roman" w:cs="Times New Roman"/>
                <w:sz w:val="16"/>
                <w:szCs w:val="16"/>
              </w:rPr>
            </w:pPr>
            <w:r w:rsidRPr="00A908EF">
              <w:rPr>
                <w:rFonts w:ascii="Times New Roman" w:hAnsi="Times New Roman" w:cs="Times New Roman"/>
                <w:sz w:val="16"/>
                <w:szCs w:val="16"/>
              </w:rPr>
              <w:t>(0.0</w:t>
            </w:r>
            <w:r w:rsidR="00A908EF">
              <w:rPr>
                <w:rFonts w:ascii="Times New Roman" w:hAnsi="Times New Roman" w:cs="Times New Roman"/>
                <w:sz w:val="16"/>
                <w:szCs w:val="16"/>
              </w:rPr>
              <w:t>18</w:t>
            </w:r>
            <w:r w:rsidRPr="00A908EF">
              <w:rPr>
                <w:rFonts w:ascii="Times New Roman" w:hAnsi="Times New Roman" w:cs="Times New Roman"/>
                <w:sz w:val="16"/>
                <w:szCs w:val="16"/>
              </w:rPr>
              <w:t>2)</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r>
      <w:tr w:rsidR="003C2993" w:rsidRPr="006E7689" w:rsidTr="00231F5E">
        <w:trPr>
          <w:jc w:val="center"/>
        </w:trPr>
        <w:tc>
          <w:tcPr>
            <w:tcW w:w="1728" w:type="dxa"/>
            <w:tcBorders>
              <w:top w:val="nil"/>
              <w:left w:val="nil"/>
              <w:bottom w:val="nil"/>
              <w:right w:val="nil"/>
            </w:tcBorders>
          </w:tcPr>
          <w:p w:rsidR="003C2993" w:rsidRPr="006E7689" w:rsidRDefault="003C2993" w:rsidP="00456487">
            <w:pPr>
              <w:widowControl w:val="0"/>
              <w:autoSpaceDE w:val="0"/>
              <w:autoSpaceDN w:val="0"/>
              <w:adjustRightInd w:val="0"/>
              <w:spacing w:after="0" w:line="240" w:lineRule="auto"/>
              <w:rPr>
                <w:rFonts w:ascii="Times New Roman" w:hAnsi="Times New Roman" w:cs="Times New Roman"/>
                <w:sz w:val="16"/>
                <w:szCs w:val="16"/>
              </w:rPr>
            </w:pPr>
            <w:r w:rsidRPr="006E7689">
              <w:rPr>
                <w:rFonts w:ascii="Times New Roman" w:hAnsi="Times New Roman" w:cs="Times New Roman"/>
                <w:sz w:val="16"/>
                <w:szCs w:val="16"/>
              </w:rPr>
              <w:t>A</w:t>
            </w:r>
            <w:r>
              <w:rPr>
                <w:rFonts w:ascii="Times New Roman" w:hAnsi="Times New Roman" w:cs="Times New Roman"/>
                <w:sz w:val="16"/>
                <w:szCs w:val="16"/>
              </w:rPr>
              <w:t>ssets</w:t>
            </w:r>
            <w:r w:rsidRPr="006E7689">
              <w:rPr>
                <w:rFonts w:ascii="Times New Roman" w:hAnsi="Times New Roman" w:cs="Times New Roman"/>
                <w:sz w:val="16"/>
                <w:szCs w:val="16"/>
              </w:rPr>
              <w:t>_R</w:t>
            </w:r>
            <w:r>
              <w:rPr>
                <w:rFonts w:ascii="Times New Roman" w:hAnsi="Times New Roman" w:cs="Times New Roman"/>
                <w:sz w:val="16"/>
                <w:szCs w:val="16"/>
              </w:rPr>
              <w:t>ank</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A908EF">
              <w:rPr>
                <w:rFonts w:ascii="Times New Roman" w:hAnsi="Times New Roman" w:cs="Times New Roman"/>
                <w:sz w:val="16"/>
                <w:szCs w:val="16"/>
              </w:rPr>
              <w:t>-0.0652***</w:t>
            </w: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576" w:type="dxa"/>
            <w:tcBorders>
              <w:top w:val="nil"/>
              <w:left w:val="nil"/>
              <w:bottom w:val="nil"/>
              <w:right w:val="nil"/>
            </w:tcBorders>
          </w:tcPr>
          <w:p w:rsidR="003C2993" w:rsidRPr="00A908EF"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-0.200**</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917157">
            <w:pPr>
              <w:widowControl w:val="0"/>
              <w:autoSpaceDE w:val="0"/>
              <w:autoSpaceDN w:val="0"/>
              <w:adjustRightInd w:val="0"/>
              <w:spacing w:after="0" w:line="240" w:lineRule="auto"/>
              <w:jc w:val="center"/>
              <w:rPr>
                <w:rFonts w:ascii="Times New Roman" w:hAnsi="Times New Roman" w:cs="Times New Roman"/>
                <w:sz w:val="16"/>
                <w:szCs w:val="16"/>
              </w:rPr>
            </w:pPr>
            <w:r w:rsidRPr="00A908EF">
              <w:rPr>
                <w:rFonts w:ascii="Times New Roman" w:hAnsi="Times New Roman" w:cs="Times New Roman"/>
                <w:sz w:val="16"/>
                <w:szCs w:val="16"/>
              </w:rPr>
              <w:t>(0.0091)</w:t>
            </w: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576" w:type="dxa"/>
            <w:tcBorders>
              <w:top w:val="nil"/>
              <w:left w:val="nil"/>
              <w:bottom w:val="nil"/>
              <w:right w:val="nil"/>
            </w:tcBorders>
          </w:tcPr>
          <w:p w:rsidR="003C2993" w:rsidRPr="00A908EF"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(0.0944)</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r>
      <w:tr w:rsidR="003C2993" w:rsidRPr="006E7689" w:rsidTr="003C2993">
        <w:trPr>
          <w:jc w:val="center"/>
        </w:trPr>
        <w:tc>
          <w:tcPr>
            <w:tcW w:w="1728" w:type="dxa"/>
            <w:tcBorders>
              <w:top w:val="nil"/>
              <w:left w:val="nil"/>
              <w:bottom w:val="nil"/>
              <w:right w:val="nil"/>
            </w:tcBorders>
            <w:vAlign w:val="center"/>
          </w:tcPr>
          <w:p w:rsidR="003C2993" w:rsidRPr="006E7689" w:rsidRDefault="003C2993" w:rsidP="003C2993">
            <w:pPr>
              <w:widowControl w:val="0"/>
              <w:autoSpaceDE w:val="0"/>
              <w:autoSpaceDN w:val="0"/>
              <w:adjustRightInd w:val="0"/>
              <w:spacing w:after="0" w:line="240" w:lineRule="auto"/>
              <w:rPr>
                <w:rFonts w:ascii="Times New Roman" w:hAnsi="Times New Roman" w:cs="Times New Roman"/>
                <w:sz w:val="16"/>
                <w:szCs w:val="16"/>
              </w:rPr>
            </w:pPr>
            <w:r w:rsidRPr="006E7689">
              <w:rPr>
                <w:rFonts w:ascii="Times New Roman" w:hAnsi="Times New Roman" w:cs="Times New Roman"/>
                <w:sz w:val="16"/>
                <w:szCs w:val="16"/>
              </w:rPr>
              <w:t>A</w:t>
            </w:r>
            <w:r>
              <w:rPr>
                <w:rFonts w:ascii="Times New Roman" w:hAnsi="Times New Roman" w:cs="Times New Roman"/>
                <w:sz w:val="16"/>
                <w:szCs w:val="16"/>
              </w:rPr>
              <w:t>ssets</w:t>
            </w:r>
            <w:r w:rsidRPr="006E7689">
              <w:rPr>
                <w:rFonts w:ascii="Times New Roman" w:hAnsi="Times New Roman" w:cs="Times New Roman"/>
                <w:sz w:val="16"/>
                <w:szCs w:val="16"/>
              </w:rPr>
              <w:t>_R</w:t>
            </w:r>
            <w:r>
              <w:rPr>
                <w:rFonts w:ascii="Times New Roman" w:hAnsi="Times New Roman" w:cs="Times New Roman"/>
                <w:sz w:val="16"/>
                <w:szCs w:val="16"/>
              </w:rPr>
              <w:t>ank</w:t>
            </w:r>
            <w:r w:rsidRPr="006E7689">
              <w:rPr>
                <w:rFonts w:ascii="Times New Roman" w:hAnsi="Times New Roman" w:cs="Times New Roman"/>
                <w:sz w:val="16"/>
                <w:szCs w:val="16"/>
              </w:rPr>
              <w:t xml:space="preserve"> ×</w:t>
            </w:r>
            <w:r>
              <w:rPr>
                <w:rFonts w:ascii="Times New Roman" w:hAnsi="Times New Roman" w:cs="Times New Roman"/>
                <w:sz w:val="16"/>
                <w:szCs w:val="16"/>
              </w:rPr>
              <w:t>Q</w:t>
            </w:r>
            <w:r w:rsidRPr="006E7689">
              <w:rPr>
                <w:rFonts w:ascii="Times New Roman" w:hAnsi="Times New Roman" w:cs="Times New Roman"/>
                <w:sz w:val="16"/>
                <w:szCs w:val="16"/>
              </w:rPr>
              <w:t>4</w:t>
            </w:r>
            <w:r>
              <w:rPr>
                <w:rFonts w:ascii="Times New Roman" w:hAnsi="Times New Roman" w:cs="Times New Roman"/>
                <w:sz w:val="16"/>
                <w:szCs w:val="16"/>
              </w:rPr>
              <w:t xml:space="preserve"> Dummy</w:t>
            </w: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vAlign w:val="center"/>
          </w:tcPr>
          <w:p w:rsidR="003C2993" w:rsidRPr="00A908EF"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vAlign w:val="center"/>
          </w:tcPr>
          <w:p w:rsidR="003C2993" w:rsidRPr="00A908EF" w:rsidRDefault="003C2993" w:rsidP="00A908EF">
            <w:pPr>
              <w:widowControl w:val="0"/>
              <w:autoSpaceDE w:val="0"/>
              <w:autoSpaceDN w:val="0"/>
              <w:adjustRightInd w:val="0"/>
              <w:spacing w:after="0" w:line="240" w:lineRule="auto"/>
              <w:jc w:val="center"/>
              <w:rPr>
                <w:rFonts w:ascii="Times New Roman" w:hAnsi="Times New Roman" w:cs="Times New Roman"/>
                <w:sz w:val="16"/>
                <w:szCs w:val="16"/>
              </w:rPr>
            </w:pPr>
            <w:r w:rsidRPr="00A908EF">
              <w:rPr>
                <w:rFonts w:ascii="Times New Roman" w:hAnsi="Times New Roman" w:cs="Times New Roman"/>
                <w:sz w:val="16"/>
                <w:szCs w:val="16"/>
              </w:rPr>
              <w:t>0.01</w:t>
            </w:r>
            <w:r w:rsidR="00A908EF">
              <w:rPr>
                <w:rFonts w:ascii="Times New Roman" w:hAnsi="Times New Roman" w:cs="Times New Roman"/>
                <w:sz w:val="16"/>
                <w:szCs w:val="16"/>
              </w:rPr>
              <w:t>6</w:t>
            </w:r>
            <w:r w:rsidRPr="00A908EF">
              <w:rPr>
                <w:rFonts w:ascii="Times New Roman" w:hAnsi="Times New Roman" w:cs="Times New Roman"/>
                <w:sz w:val="16"/>
                <w:szCs w:val="16"/>
              </w:rPr>
              <w:t>6</w:t>
            </w:r>
            <w:r w:rsidR="00A908EF" w:rsidRPr="00A908EF">
              <w:rPr>
                <w:rFonts w:ascii="Times New Roman" w:hAnsi="Times New Roman" w:cs="Times New Roman"/>
                <w:sz w:val="16"/>
                <w:szCs w:val="16"/>
              </w:rPr>
              <w:t>*</w:t>
            </w:r>
          </w:p>
        </w:tc>
        <w:tc>
          <w:tcPr>
            <w:tcW w:w="1008" w:type="dxa"/>
            <w:tcBorders>
              <w:top w:val="nil"/>
              <w:left w:val="nil"/>
              <w:bottom w:val="nil"/>
              <w:right w:val="nil"/>
            </w:tcBorders>
            <w:vAlign w:val="center"/>
          </w:tcPr>
          <w:p w:rsidR="003C2993" w:rsidRPr="00A908EF"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p>
        </w:tc>
        <w:tc>
          <w:tcPr>
            <w:tcW w:w="576" w:type="dxa"/>
            <w:tcBorders>
              <w:top w:val="nil"/>
              <w:left w:val="nil"/>
              <w:bottom w:val="nil"/>
              <w:right w:val="nil"/>
            </w:tcBorders>
            <w:vAlign w:val="bottom"/>
          </w:tcPr>
          <w:p w:rsidR="003C2993" w:rsidRPr="00A908EF" w:rsidRDefault="003C2993" w:rsidP="00231F5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vAlign w:val="center"/>
          </w:tcPr>
          <w:p w:rsidR="003C2993" w:rsidRPr="00A908EF"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vAlign w:val="center"/>
          </w:tcPr>
          <w:p w:rsidR="003C2993" w:rsidRPr="00A908EF"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0.0987**</w:t>
            </w: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917157">
            <w:pPr>
              <w:widowControl w:val="0"/>
              <w:autoSpaceDE w:val="0"/>
              <w:autoSpaceDN w:val="0"/>
              <w:adjustRightInd w:val="0"/>
              <w:spacing w:after="0" w:line="240" w:lineRule="auto"/>
              <w:jc w:val="center"/>
              <w:rPr>
                <w:rFonts w:ascii="Times New Roman" w:hAnsi="Times New Roman" w:cs="Times New Roman"/>
                <w:sz w:val="16"/>
                <w:szCs w:val="16"/>
              </w:rPr>
            </w:pPr>
            <w:r w:rsidRPr="00A908EF">
              <w:rPr>
                <w:rFonts w:ascii="Times New Roman" w:hAnsi="Times New Roman" w:cs="Times New Roman"/>
                <w:sz w:val="16"/>
                <w:szCs w:val="16"/>
              </w:rPr>
              <w:t>(0.0093)</w:t>
            </w: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576" w:type="dxa"/>
            <w:tcBorders>
              <w:top w:val="nil"/>
              <w:left w:val="nil"/>
              <w:bottom w:val="nil"/>
              <w:right w:val="nil"/>
            </w:tcBorders>
          </w:tcPr>
          <w:p w:rsidR="003C2993" w:rsidRPr="00A908EF"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(0.0451)</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r>
      <w:tr w:rsidR="003C2993" w:rsidRPr="006E7689" w:rsidTr="00231F5E">
        <w:trPr>
          <w:jc w:val="center"/>
        </w:trPr>
        <w:tc>
          <w:tcPr>
            <w:tcW w:w="1728" w:type="dxa"/>
            <w:tcBorders>
              <w:top w:val="nil"/>
              <w:left w:val="nil"/>
              <w:bottom w:val="nil"/>
              <w:right w:val="nil"/>
            </w:tcBorders>
          </w:tcPr>
          <w:p w:rsidR="003C2993" w:rsidRPr="006E7689" w:rsidRDefault="003C2993" w:rsidP="00456487">
            <w:pPr>
              <w:widowControl w:val="0"/>
              <w:autoSpaceDE w:val="0"/>
              <w:autoSpaceDN w:val="0"/>
              <w:adjustRightInd w:val="0"/>
              <w:spacing w:after="0" w:line="240" w:lineRule="auto"/>
              <w:rPr>
                <w:rFonts w:ascii="Times New Roman" w:hAnsi="Times New Roman" w:cs="Times New Roman"/>
                <w:sz w:val="16"/>
                <w:szCs w:val="16"/>
              </w:rPr>
            </w:pPr>
            <w:r w:rsidRPr="006E7689">
              <w:rPr>
                <w:rFonts w:ascii="Times New Roman" w:hAnsi="Times New Roman" w:cs="Times New Roman"/>
                <w:sz w:val="16"/>
                <w:szCs w:val="16"/>
              </w:rPr>
              <w:t>E</w:t>
            </w:r>
            <w:r>
              <w:rPr>
                <w:rFonts w:ascii="Times New Roman" w:hAnsi="Times New Roman" w:cs="Times New Roman"/>
                <w:sz w:val="16"/>
                <w:szCs w:val="16"/>
              </w:rPr>
              <w:t>mployee</w:t>
            </w:r>
            <w:r w:rsidRPr="006E7689">
              <w:rPr>
                <w:rFonts w:ascii="Times New Roman" w:hAnsi="Times New Roman" w:cs="Times New Roman"/>
                <w:sz w:val="16"/>
                <w:szCs w:val="16"/>
              </w:rPr>
              <w:t>_ R</w:t>
            </w:r>
            <w:r>
              <w:rPr>
                <w:rFonts w:ascii="Times New Roman" w:hAnsi="Times New Roman" w:cs="Times New Roman"/>
                <w:sz w:val="16"/>
                <w:szCs w:val="16"/>
              </w:rPr>
              <w:t>ank</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A908EF">
              <w:rPr>
                <w:rFonts w:ascii="Times New Roman" w:hAnsi="Times New Roman" w:cs="Times New Roman"/>
                <w:sz w:val="16"/>
                <w:szCs w:val="16"/>
              </w:rPr>
              <w:t>0.0490***</w:t>
            </w:r>
          </w:p>
        </w:tc>
        <w:tc>
          <w:tcPr>
            <w:tcW w:w="576" w:type="dxa"/>
            <w:tcBorders>
              <w:top w:val="nil"/>
              <w:left w:val="nil"/>
              <w:bottom w:val="nil"/>
              <w:right w:val="nil"/>
            </w:tcBorders>
          </w:tcPr>
          <w:p w:rsidR="003C2993" w:rsidRPr="00A908EF"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0.179***</w:t>
            </w: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A908EF">
              <w:rPr>
                <w:rFonts w:ascii="Times New Roman" w:hAnsi="Times New Roman" w:cs="Times New Roman"/>
                <w:sz w:val="16"/>
                <w:szCs w:val="16"/>
              </w:rPr>
              <w:t>(0.0121)</w:t>
            </w:r>
          </w:p>
        </w:tc>
        <w:tc>
          <w:tcPr>
            <w:tcW w:w="576" w:type="dxa"/>
            <w:tcBorders>
              <w:top w:val="nil"/>
              <w:left w:val="nil"/>
              <w:bottom w:val="nil"/>
              <w:right w:val="nil"/>
            </w:tcBorders>
          </w:tcPr>
          <w:p w:rsidR="003C2993" w:rsidRPr="00A908EF"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A908EF"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(0.0485)</w:t>
            </w:r>
          </w:p>
        </w:tc>
      </w:tr>
      <w:tr w:rsidR="003C2993" w:rsidRPr="006E7689" w:rsidTr="003C2993">
        <w:trPr>
          <w:jc w:val="center"/>
        </w:trPr>
        <w:tc>
          <w:tcPr>
            <w:tcW w:w="1728" w:type="dxa"/>
            <w:tcBorders>
              <w:top w:val="nil"/>
              <w:left w:val="nil"/>
              <w:bottom w:val="nil"/>
              <w:right w:val="nil"/>
            </w:tcBorders>
            <w:vAlign w:val="center"/>
          </w:tcPr>
          <w:p w:rsidR="003C2993" w:rsidRPr="006E7689" w:rsidRDefault="003C2993" w:rsidP="003C2993">
            <w:pPr>
              <w:widowControl w:val="0"/>
              <w:autoSpaceDE w:val="0"/>
              <w:autoSpaceDN w:val="0"/>
              <w:adjustRightInd w:val="0"/>
              <w:spacing w:after="0" w:line="240" w:lineRule="auto"/>
              <w:rPr>
                <w:rFonts w:ascii="Times New Roman" w:hAnsi="Times New Roman" w:cs="Times New Roman"/>
                <w:sz w:val="16"/>
                <w:szCs w:val="16"/>
              </w:rPr>
            </w:pPr>
            <w:r w:rsidRPr="006E7689">
              <w:rPr>
                <w:rFonts w:ascii="Times New Roman" w:hAnsi="Times New Roman" w:cs="Times New Roman"/>
                <w:sz w:val="16"/>
                <w:szCs w:val="16"/>
              </w:rPr>
              <w:t>E</w:t>
            </w:r>
            <w:r>
              <w:rPr>
                <w:rFonts w:ascii="Times New Roman" w:hAnsi="Times New Roman" w:cs="Times New Roman"/>
                <w:sz w:val="16"/>
                <w:szCs w:val="16"/>
              </w:rPr>
              <w:t>mployee</w:t>
            </w:r>
            <w:r w:rsidRPr="006E7689">
              <w:rPr>
                <w:rFonts w:ascii="Times New Roman" w:hAnsi="Times New Roman" w:cs="Times New Roman"/>
                <w:sz w:val="16"/>
                <w:szCs w:val="16"/>
              </w:rPr>
              <w:t>_ R</w:t>
            </w:r>
            <w:r>
              <w:rPr>
                <w:rFonts w:ascii="Times New Roman" w:hAnsi="Times New Roman" w:cs="Times New Roman"/>
                <w:sz w:val="16"/>
                <w:szCs w:val="16"/>
              </w:rPr>
              <w:t xml:space="preserve">ank </w:t>
            </w:r>
            <w:r w:rsidRPr="006E7689">
              <w:rPr>
                <w:rFonts w:ascii="Times New Roman" w:hAnsi="Times New Roman" w:cs="Times New Roman"/>
                <w:sz w:val="16"/>
                <w:szCs w:val="16"/>
              </w:rPr>
              <w:t>×</w:t>
            </w:r>
            <w:r>
              <w:rPr>
                <w:rFonts w:ascii="Times New Roman" w:hAnsi="Times New Roman" w:cs="Times New Roman"/>
                <w:sz w:val="16"/>
                <w:szCs w:val="16"/>
              </w:rPr>
              <w:t>Q</w:t>
            </w:r>
            <w:r w:rsidRPr="006E7689">
              <w:rPr>
                <w:rFonts w:ascii="Times New Roman" w:hAnsi="Times New Roman" w:cs="Times New Roman"/>
                <w:sz w:val="16"/>
                <w:szCs w:val="16"/>
              </w:rPr>
              <w:t>4</w:t>
            </w:r>
            <w:r>
              <w:rPr>
                <w:rFonts w:ascii="Times New Roman" w:hAnsi="Times New Roman" w:cs="Times New Roman"/>
                <w:sz w:val="16"/>
                <w:szCs w:val="16"/>
              </w:rPr>
              <w:t xml:space="preserve"> Dummy</w:t>
            </w: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0.0360***</w:t>
            </w:r>
          </w:p>
        </w:tc>
        <w:tc>
          <w:tcPr>
            <w:tcW w:w="576" w:type="dxa"/>
            <w:tcBorders>
              <w:top w:val="nil"/>
              <w:left w:val="nil"/>
              <w:bottom w:val="nil"/>
              <w:right w:val="nil"/>
            </w:tcBorders>
            <w:vAlign w:val="bottom"/>
          </w:tcPr>
          <w:p w:rsidR="003C2993" w:rsidRPr="006E7689" w:rsidRDefault="003C2993" w:rsidP="00231F5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vAlign w:val="center"/>
          </w:tcPr>
          <w:p w:rsidR="003C2993" w:rsidRPr="003C2993" w:rsidRDefault="003C2993" w:rsidP="003C2993">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0.167***</w:t>
            </w: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917157">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(0.0039)</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(0.0229)</w:t>
            </w:r>
          </w:p>
        </w:tc>
      </w:tr>
      <w:tr w:rsidR="00821BD4" w:rsidRPr="006E7689" w:rsidTr="00231F5E">
        <w:trPr>
          <w:jc w:val="center"/>
        </w:trPr>
        <w:tc>
          <w:tcPr>
            <w:tcW w:w="1728" w:type="dxa"/>
            <w:tcBorders>
              <w:top w:val="nil"/>
              <w:left w:val="nil"/>
              <w:bottom w:val="nil"/>
              <w:right w:val="nil"/>
            </w:tcBorders>
            <w:vAlign w:val="center"/>
          </w:tcPr>
          <w:p w:rsidR="00821BD4" w:rsidRPr="006E7689" w:rsidRDefault="00821BD4" w:rsidP="003465DB">
            <w:pPr>
              <w:spacing w:after="0" w:line="240" w:lineRule="auto"/>
              <w:rPr>
                <w:rFonts w:ascii="Times New Roman" w:eastAsia="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576"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r>
      <w:tr w:rsidR="00821BD4" w:rsidRPr="006E7689" w:rsidTr="00231F5E">
        <w:trPr>
          <w:jc w:val="center"/>
        </w:trPr>
        <w:tc>
          <w:tcPr>
            <w:tcW w:w="1728" w:type="dxa"/>
            <w:tcBorders>
              <w:top w:val="nil"/>
              <w:left w:val="nil"/>
              <w:bottom w:val="nil"/>
              <w:right w:val="nil"/>
            </w:tcBorders>
            <w:vAlign w:val="center"/>
          </w:tcPr>
          <w:p w:rsidR="00821BD4" w:rsidRPr="006E7689" w:rsidRDefault="00821BD4" w:rsidP="003465DB">
            <w:pPr>
              <w:spacing w:after="0" w:line="240" w:lineRule="auto"/>
              <w:rPr>
                <w:rFonts w:ascii="Times New Roman" w:eastAsia="Times New Roman" w:hAnsi="Times New Roman" w:cs="Times New Roman"/>
                <w:sz w:val="16"/>
                <w:szCs w:val="16"/>
              </w:rPr>
            </w:pPr>
            <w:r w:rsidRPr="006E7689">
              <w:rPr>
                <w:rFonts w:ascii="Times New Roman" w:eastAsia="Times New Roman" w:hAnsi="Times New Roman" w:cs="Times New Roman"/>
                <w:sz w:val="16"/>
                <w:szCs w:val="16"/>
              </w:rPr>
              <w:t>Firm FE</w:t>
            </w: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Yes</w:t>
            </w: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Yes</w:t>
            </w: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Yes</w:t>
            </w: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Yes</w:t>
            </w:r>
          </w:p>
        </w:tc>
        <w:tc>
          <w:tcPr>
            <w:tcW w:w="576"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Yes</w:t>
            </w: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Yes</w:t>
            </w: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Yes</w:t>
            </w: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Yes</w:t>
            </w:r>
          </w:p>
        </w:tc>
      </w:tr>
      <w:tr w:rsidR="00821BD4" w:rsidRPr="006E7689" w:rsidTr="00231F5E">
        <w:trPr>
          <w:jc w:val="center"/>
        </w:trPr>
        <w:tc>
          <w:tcPr>
            <w:tcW w:w="1728" w:type="dxa"/>
            <w:tcBorders>
              <w:top w:val="nil"/>
              <w:left w:val="nil"/>
              <w:bottom w:val="nil"/>
              <w:right w:val="nil"/>
            </w:tcBorders>
            <w:vAlign w:val="center"/>
          </w:tcPr>
          <w:p w:rsidR="00821BD4" w:rsidRPr="006E7689" w:rsidRDefault="00821BD4" w:rsidP="003465DB">
            <w:pPr>
              <w:spacing w:after="0" w:line="240" w:lineRule="auto"/>
              <w:rPr>
                <w:rFonts w:ascii="Times New Roman" w:eastAsia="Times New Roman" w:hAnsi="Times New Roman" w:cs="Times New Roman"/>
                <w:sz w:val="16"/>
                <w:szCs w:val="16"/>
              </w:rPr>
            </w:pPr>
            <w:r w:rsidRPr="006E7689">
              <w:rPr>
                <w:rFonts w:ascii="Times New Roman" w:eastAsia="Times New Roman" w:hAnsi="Times New Roman" w:cs="Times New Roman"/>
                <w:sz w:val="16"/>
                <w:szCs w:val="16"/>
              </w:rPr>
              <w:t>Industry-Time FE</w:t>
            </w: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Yes</w:t>
            </w: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Yes</w:t>
            </w: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Yes</w:t>
            </w: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Yes</w:t>
            </w:r>
          </w:p>
        </w:tc>
        <w:tc>
          <w:tcPr>
            <w:tcW w:w="576"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Yes</w:t>
            </w: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Yes</w:t>
            </w: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Yes</w:t>
            </w:r>
          </w:p>
        </w:tc>
        <w:tc>
          <w:tcPr>
            <w:tcW w:w="1008" w:type="dxa"/>
            <w:tcBorders>
              <w:top w:val="nil"/>
              <w:left w:val="nil"/>
              <w:bottom w:val="nil"/>
              <w:right w:val="nil"/>
            </w:tcBorders>
          </w:tcPr>
          <w:p w:rsidR="00821BD4" w:rsidRPr="006E7689" w:rsidRDefault="00821BD4" w:rsidP="003465DB">
            <w:pPr>
              <w:widowControl w:val="0"/>
              <w:autoSpaceDE w:val="0"/>
              <w:autoSpaceDN w:val="0"/>
              <w:adjustRightInd w:val="0"/>
              <w:spacing w:after="0" w:line="240" w:lineRule="auto"/>
              <w:jc w:val="center"/>
              <w:rPr>
                <w:rFonts w:ascii="Times New Roman" w:hAnsi="Times New Roman" w:cs="Times New Roman"/>
                <w:sz w:val="16"/>
                <w:szCs w:val="16"/>
              </w:rPr>
            </w:pPr>
            <w:r w:rsidRPr="006E7689">
              <w:rPr>
                <w:rFonts w:ascii="Times New Roman" w:hAnsi="Times New Roman" w:cs="Times New Roman"/>
                <w:sz w:val="16"/>
                <w:szCs w:val="16"/>
              </w:rPr>
              <w:t>Yes</w:t>
            </w:r>
          </w:p>
        </w:tc>
      </w:tr>
      <w:tr w:rsidR="003C2993" w:rsidRPr="006E7689" w:rsidTr="00231F5E">
        <w:trPr>
          <w:jc w:val="center"/>
        </w:trPr>
        <w:tc>
          <w:tcPr>
            <w:tcW w:w="1728"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r w:rsidRPr="006E7689">
              <w:rPr>
                <w:rFonts w:ascii="Times New Roman" w:hAnsi="Times New Roman" w:cs="Times New Roman"/>
                <w:sz w:val="16"/>
                <w:szCs w:val="16"/>
              </w:rPr>
              <w:t>Observations</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24"/>
              </w:rPr>
            </w:pPr>
            <w:r w:rsidRPr="003C2993">
              <w:rPr>
                <w:rFonts w:ascii="Times New Roman" w:hAnsi="Times New Roman" w:cs="Times New Roman"/>
                <w:sz w:val="16"/>
                <w:szCs w:val="24"/>
              </w:rPr>
              <w:t>214,339</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24"/>
              </w:rPr>
            </w:pPr>
            <w:r w:rsidRPr="003C2993">
              <w:rPr>
                <w:rFonts w:ascii="Times New Roman" w:hAnsi="Times New Roman" w:cs="Times New Roman"/>
                <w:sz w:val="16"/>
                <w:szCs w:val="24"/>
              </w:rPr>
              <w:t>206,600</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24"/>
              </w:rPr>
            </w:pPr>
            <w:r w:rsidRPr="003C2993">
              <w:rPr>
                <w:rFonts w:ascii="Times New Roman" w:hAnsi="Times New Roman" w:cs="Times New Roman"/>
                <w:sz w:val="16"/>
                <w:szCs w:val="24"/>
              </w:rPr>
              <w:t>206,601</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24"/>
              </w:rPr>
            </w:pPr>
            <w:r w:rsidRPr="003C2993">
              <w:rPr>
                <w:rFonts w:ascii="Times New Roman" w:hAnsi="Times New Roman" w:cs="Times New Roman"/>
                <w:sz w:val="16"/>
                <w:szCs w:val="24"/>
              </w:rPr>
              <w:t>153,688</w:t>
            </w:r>
          </w:p>
        </w:tc>
        <w:tc>
          <w:tcPr>
            <w:tcW w:w="576" w:type="dxa"/>
            <w:tcBorders>
              <w:top w:val="nil"/>
              <w:left w:val="nil"/>
              <w:bottom w:val="nil"/>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213,956</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206,331</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206,332</w:t>
            </w:r>
          </w:p>
        </w:tc>
        <w:tc>
          <w:tcPr>
            <w:tcW w:w="1008" w:type="dxa"/>
            <w:tcBorders>
              <w:top w:val="nil"/>
              <w:left w:val="nil"/>
              <w:bottom w:val="nil"/>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153,457</w:t>
            </w:r>
          </w:p>
        </w:tc>
      </w:tr>
      <w:tr w:rsidR="003C2993" w:rsidRPr="006E7689" w:rsidTr="00F33A35">
        <w:tblPrEx>
          <w:tblBorders>
            <w:bottom w:val="single" w:sz="6" w:space="0" w:color="auto"/>
          </w:tblBorders>
        </w:tblPrEx>
        <w:trPr>
          <w:jc w:val="center"/>
        </w:trPr>
        <w:tc>
          <w:tcPr>
            <w:tcW w:w="1728" w:type="dxa"/>
            <w:tcBorders>
              <w:top w:val="nil"/>
              <w:left w:val="nil"/>
              <w:bottom w:val="double" w:sz="4" w:space="0" w:color="auto"/>
              <w:right w:val="nil"/>
            </w:tcBorders>
          </w:tcPr>
          <w:p w:rsidR="003C2993" w:rsidRPr="006E7689" w:rsidRDefault="003C2993" w:rsidP="003465DB">
            <w:pPr>
              <w:widowControl w:val="0"/>
              <w:autoSpaceDE w:val="0"/>
              <w:autoSpaceDN w:val="0"/>
              <w:adjustRightInd w:val="0"/>
              <w:spacing w:after="0" w:line="240" w:lineRule="auto"/>
              <w:rPr>
                <w:rFonts w:ascii="Times New Roman" w:hAnsi="Times New Roman" w:cs="Times New Roman"/>
                <w:sz w:val="16"/>
                <w:szCs w:val="16"/>
              </w:rPr>
            </w:pPr>
            <w:r w:rsidRPr="006E7689">
              <w:rPr>
                <w:rFonts w:ascii="Times New Roman" w:hAnsi="Times New Roman" w:cs="Times New Roman"/>
                <w:sz w:val="16"/>
                <w:szCs w:val="16"/>
              </w:rPr>
              <w:t>R-squared</w:t>
            </w:r>
          </w:p>
        </w:tc>
        <w:tc>
          <w:tcPr>
            <w:tcW w:w="1008" w:type="dxa"/>
            <w:tcBorders>
              <w:top w:val="nil"/>
              <w:left w:val="nil"/>
              <w:bottom w:val="double" w:sz="4" w:space="0" w:color="auto"/>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24"/>
              </w:rPr>
            </w:pPr>
            <w:r w:rsidRPr="003C2993">
              <w:rPr>
                <w:rFonts w:ascii="Times New Roman" w:hAnsi="Times New Roman" w:cs="Times New Roman"/>
                <w:sz w:val="16"/>
                <w:szCs w:val="24"/>
              </w:rPr>
              <w:t>0.577</w:t>
            </w:r>
          </w:p>
        </w:tc>
        <w:tc>
          <w:tcPr>
            <w:tcW w:w="1008" w:type="dxa"/>
            <w:tcBorders>
              <w:top w:val="nil"/>
              <w:left w:val="nil"/>
              <w:bottom w:val="double" w:sz="4" w:space="0" w:color="auto"/>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24"/>
              </w:rPr>
            </w:pPr>
            <w:r w:rsidRPr="003C2993">
              <w:rPr>
                <w:rFonts w:ascii="Times New Roman" w:hAnsi="Times New Roman" w:cs="Times New Roman"/>
                <w:sz w:val="16"/>
                <w:szCs w:val="24"/>
              </w:rPr>
              <w:t>0.585</w:t>
            </w:r>
          </w:p>
        </w:tc>
        <w:tc>
          <w:tcPr>
            <w:tcW w:w="1008" w:type="dxa"/>
            <w:tcBorders>
              <w:top w:val="nil"/>
              <w:left w:val="nil"/>
              <w:bottom w:val="double" w:sz="4" w:space="0" w:color="auto"/>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24"/>
              </w:rPr>
            </w:pPr>
            <w:r w:rsidRPr="003C2993">
              <w:rPr>
                <w:rFonts w:ascii="Times New Roman" w:hAnsi="Times New Roman" w:cs="Times New Roman"/>
                <w:sz w:val="16"/>
                <w:szCs w:val="24"/>
              </w:rPr>
              <w:t>0.583</w:t>
            </w:r>
          </w:p>
        </w:tc>
        <w:tc>
          <w:tcPr>
            <w:tcW w:w="1008" w:type="dxa"/>
            <w:tcBorders>
              <w:top w:val="nil"/>
              <w:left w:val="nil"/>
              <w:bottom w:val="double" w:sz="4" w:space="0" w:color="auto"/>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24"/>
              </w:rPr>
            </w:pPr>
            <w:r w:rsidRPr="003C2993">
              <w:rPr>
                <w:rFonts w:ascii="Times New Roman" w:hAnsi="Times New Roman" w:cs="Times New Roman"/>
                <w:sz w:val="16"/>
                <w:szCs w:val="24"/>
              </w:rPr>
              <w:t>0.626</w:t>
            </w:r>
          </w:p>
        </w:tc>
        <w:tc>
          <w:tcPr>
            <w:tcW w:w="576" w:type="dxa"/>
            <w:tcBorders>
              <w:top w:val="nil"/>
              <w:left w:val="nil"/>
              <w:bottom w:val="double" w:sz="4" w:space="0" w:color="auto"/>
              <w:right w:val="nil"/>
            </w:tcBorders>
          </w:tcPr>
          <w:p w:rsidR="003C2993" w:rsidRPr="006E7689" w:rsidRDefault="003C2993" w:rsidP="003465DB">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double" w:sz="4" w:space="0" w:color="auto"/>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0.456</w:t>
            </w:r>
          </w:p>
        </w:tc>
        <w:tc>
          <w:tcPr>
            <w:tcW w:w="1008" w:type="dxa"/>
            <w:tcBorders>
              <w:top w:val="nil"/>
              <w:left w:val="nil"/>
              <w:bottom w:val="double" w:sz="4" w:space="0" w:color="auto"/>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0.469</w:t>
            </w:r>
          </w:p>
        </w:tc>
        <w:tc>
          <w:tcPr>
            <w:tcW w:w="1008" w:type="dxa"/>
            <w:tcBorders>
              <w:top w:val="nil"/>
              <w:left w:val="nil"/>
              <w:bottom w:val="double" w:sz="4" w:space="0" w:color="auto"/>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0.468</w:t>
            </w:r>
          </w:p>
        </w:tc>
        <w:tc>
          <w:tcPr>
            <w:tcW w:w="1008" w:type="dxa"/>
            <w:tcBorders>
              <w:top w:val="nil"/>
              <w:left w:val="nil"/>
              <w:bottom w:val="double" w:sz="4" w:space="0" w:color="auto"/>
              <w:right w:val="nil"/>
            </w:tcBorders>
          </w:tcPr>
          <w:p w:rsidR="003C2993" w:rsidRPr="003C2993" w:rsidRDefault="003C2993" w:rsidP="0085714E">
            <w:pPr>
              <w:widowControl w:val="0"/>
              <w:autoSpaceDE w:val="0"/>
              <w:autoSpaceDN w:val="0"/>
              <w:adjustRightInd w:val="0"/>
              <w:spacing w:after="0" w:line="240" w:lineRule="auto"/>
              <w:jc w:val="center"/>
              <w:rPr>
                <w:rFonts w:ascii="Times New Roman" w:hAnsi="Times New Roman" w:cs="Times New Roman"/>
                <w:sz w:val="16"/>
                <w:szCs w:val="16"/>
              </w:rPr>
            </w:pPr>
            <w:r w:rsidRPr="003C2993">
              <w:rPr>
                <w:rFonts w:ascii="Times New Roman" w:hAnsi="Times New Roman" w:cs="Times New Roman"/>
                <w:sz w:val="16"/>
                <w:szCs w:val="16"/>
              </w:rPr>
              <w:t>0.466</w:t>
            </w:r>
          </w:p>
        </w:tc>
      </w:tr>
    </w:tbl>
    <w:p w:rsidR="00821BD4" w:rsidRPr="00EE1141" w:rsidRDefault="00821BD4" w:rsidP="00821BD4">
      <w:pPr>
        <w:spacing w:after="120" w:line="360" w:lineRule="auto"/>
        <w:rPr>
          <w:rFonts w:ascii="Times New Roman" w:hAnsi="Times New Roman" w:cs="Times New Roman"/>
        </w:rPr>
      </w:pPr>
    </w:p>
    <w:p w:rsidR="00821BD4" w:rsidRPr="00EE1141" w:rsidRDefault="00821BD4" w:rsidP="00821BD4">
      <w:pPr>
        <w:spacing w:after="120" w:line="360" w:lineRule="auto"/>
        <w:rPr>
          <w:rFonts w:ascii="Times New Roman" w:hAnsi="Times New Roman" w:cs="Times New Roman"/>
        </w:rPr>
        <w:sectPr w:rsidR="00821BD4" w:rsidRPr="00EE1141" w:rsidSect="003465DB">
          <w:footnotePr>
            <w:numFmt w:val="chicago"/>
          </w:footnotePr>
          <w:pgSz w:w="12240" w:h="15840"/>
          <w:pgMar w:top="1440" w:right="1440" w:bottom="1267" w:left="1440" w:header="720" w:footer="720" w:gutter="0"/>
          <w:cols w:space="720"/>
          <w:docGrid w:linePitch="360"/>
        </w:sectPr>
      </w:pPr>
    </w:p>
    <w:p w:rsidR="00EA4DB4" w:rsidRPr="00EE1141" w:rsidRDefault="00EA4DB4" w:rsidP="00EA4DB4">
      <w:pPr>
        <w:spacing w:after="120" w:line="240" w:lineRule="auto"/>
        <w:ind w:firstLine="288"/>
        <w:jc w:val="both"/>
        <w:rPr>
          <w:rFonts w:ascii="Times New Roman" w:hAnsi="Times New Roman" w:cs="Times New Roman"/>
          <w:sz w:val="16"/>
          <w:szCs w:val="16"/>
        </w:rPr>
      </w:pPr>
      <w:r w:rsidRPr="00EE1141">
        <w:rPr>
          <w:rFonts w:ascii="Times New Roman" w:hAnsi="Times New Roman" w:cs="Times New Roman"/>
          <w:sz w:val="16"/>
          <w:szCs w:val="16"/>
        </w:rPr>
        <w:lastRenderedPageBreak/>
        <w:t>Panel B of this table reports the results of regressions of capital expenditure on the country-level variables and their interactions with 4</w:t>
      </w:r>
      <w:r w:rsidRPr="00EE1141">
        <w:rPr>
          <w:rFonts w:ascii="Times New Roman" w:hAnsi="Times New Roman" w:cs="Times New Roman"/>
          <w:sz w:val="16"/>
          <w:szCs w:val="16"/>
          <w:vertAlign w:val="superscript"/>
        </w:rPr>
        <w:t>th</w:t>
      </w:r>
      <w:r w:rsidRPr="00EE1141">
        <w:rPr>
          <w:rFonts w:ascii="Times New Roman" w:hAnsi="Times New Roman" w:cs="Times New Roman"/>
          <w:sz w:val="16"/>
          <w:szCs w:val="16"/>
        </w:rPr>
        <w:t xml:space="preserve"> fiscal quarter dummy, controlling for GDP per capita and GDP growth and other firm-level observable measures to account for any confounding effects attributable to capital expenditure. We also add Fama-French-48 industry × calendar quarter interaction fixed effects to control for time-varying investment opportuniti</w:t>
      </w:r>
      <w:r>
        <w:rPr>
          <w:rFonts w:ascii="Times New Roman" w:hAnsi="Times New Roman" w:cs="Times New Roman"/>
          <w:sz w:val="16"/>
          <w:szCs w:val="16"/>
        </w:rPr>
        <w:t xml:space="preserve">es. </w:t>
      </w:r>
      <w:r w:rsidR="006E7689" w:rsidRPr="00EE1141">
        <w:rPr>
          <w:rFonts w:ascii="Times New Roman" w:hAnsi="Times New Roman" w:cs="Times New Roman"/>
          <w:sz w:val="16"/>
        </w:rPr>
        <w:t>The country characteristics are investor rights</w:t>
      </w:r>
      <w:r w:rsidR="006E7689">
        <w:rPr>
          <w:rFonts w:ascii="Times New Roman" w:hAnsi="Times New Roman" w:cs="Times New Roman"/>
          <w:sz w:val="16"/>
        </w:rPr>
        <w:t xml:space="preserve"> and protection</w:t>
      </w:r>
      <w:r w:rsidR="006E7689" w:rsidRPr="00EE1141">
        <w:rPr>
          <w:rFonts w:ascii="Times New Roman" w:hAnsi="Times New Roman" w:cs="Times New Roman"/>
          <w:sz w:val="16"/>
        </w:rPr>
        <w:t>, development of financial market</w:t>
      </w:r>
      <w:r w:rsidR="006E7689">
        <w:rPr>
          <w:rFonts w:ascii="Times New Roman" w:hAnsi="Times New Roman" w:cs="Times New Roman"/>
          <w:sz w:val="16"/>
        </w:rPr>
        <w:t xml:space="preserve">, and </w:t>
      </w:r>
      <w:r w:rsidR="006E7689" w:rsidRPr="00EE1141">
        <w:rPr>
          <w:rFonts w:ascii="Times New Roman" w:hAnsi="Times New Roman" w:cs="Times New Roman"/>
          <w:sz w:val="16"/>
        </w:rPr>
        <w:t>GDP per capita in constant 2005 US$ (GDP</w:t>
      </w:r>
      <w:r w:rsidR="006E7689">
        <w:rPr>
          <w:rFonts w:ascii="Times New Roman" w:hAnsi="Times New Roman" w:cs="Times New Roman"/>
          <w:sz w:val="16"/>
        </w:rPr>
        <w:t xml:space="preserve">), </w:t>
      </w:r>
      <w:r w:rsidR="004E3829">
        <w:rPr>
          <w:rFonts w:ascii="Times New Roman" w:hAnsi="Times New Roman" w:cs="Times New Roman"/>
          <w:sz w:val="16"/>
        </w:rPr>
        <w:t xml:space="preserve">and </w:t>
      </w:r>
      <w:r w:rsidR="006E7689">
        <w:rPr>
          <w:rFonts w:ascii="Times New Roman" w:hAnsi="Times New Roman" w:cs="Times New Roman"/>
          <w:sz w:val="16"/>
        </w:rPr>
        <w:t>annual GDP growth (GDP_GRO)</w:t>
      </w:r>
      <w:r w:rsidR="004E3829">
        <w:rPr>
          <w:rFonts w:ascii="Times New Roman" w:hAnsi="Times New Roman" w:cs="Times New Roman"/>
          <w:sz w:val="16"/>
        </w:rPr>
        <w:t xml:space="preserve">. </w:t>
      </w:r>
      <w:r w:rsidR="006E7689" w:rsidRPr="00EE1141">
        <w:rPr>
          <w:rFonts w:ascii="Times New Roman" w:hAnsi="Times New Roman" w:cs="Times New Roman"/>
          <w:sz w:val="16"/>
        </w:rPr>
        <w:t xml:space="preserve">The proxies for investor rights and protection include the anti-director rights index </w:t>
      </w:r>
      <w:r w:rsidR="006E7689">
        <w:rPr>
          <w:rFonts w:ascii="Times New Roman" w:hAnsi="Times New Roman" w:cs="Times New Roman"/>
          <w:sz w:val="16"/>
        </w:rPr>
        <w:t xml:space="preserve">(AD), </w:t>
      </w:r>
      <w:r w:rsidR="006E7689" w:rsidRPr="00EE1141">
        <w:rPr>
          <w:rFonts w:ascii="Times New Roman" w:hAnsi="Times New Roman" w:cs="Times New Roman"/>
          <w:sz w:val="16"/>
        </w:rPr>
        <w:t xml:space="preserve">the anti-self-dealing index (AS), </w:t>
      </w:r>
      <w:r w:rsidR="006E7689">
        <w:rPr>
          <w:rFonts w:ascii="Times New Roman" w:hAnsi="Times New Roman" w:cs="Times New Roman"/>
          <w:sz w:val="16"/>
        </w:rPr>
        <w:t>the</w:t>
      </w:r>
      <w:r w:rsidR="006E7689" w:rsidRPr="00EE1141">
        <w:rPr>
          <w:rFonts w:ascii="Times New Roman" w:hAnsi="Times New Roman" w:cs="Times New Roman"/>
          <w:sz w:val="16"/>
        </w:rPr>
        <w:t xml:space="preserve"> extent of disclosure index (DISC)</w:t>
      </w:r>
      <w:r w:rsidR="006E7689">
        <w:rPr>
          <w:rFonts w:ascii="Times New Roman" w:hAnsi="Times New Roman" w:cs="Times New Roman"/>
          <w:sz w:val="16"/>
        </w:rPr>
        <w:t xml:space="preserve">, </w:t>
      </w:r>
      <w:r w:rsidR="006E7689" w:rsidRPr="00EE1141">
        <w:rPr>
          <w:rFonts w:ascii="Times New Roman" w:hAnsi="Times New Roman" w:cs="Times New Roman"/>
          <w:sz w:val="16"/>
        </w:rPr>
        <w:t>accounting quality (ACCT),</w:t>
      </w:r>
      <w:r w:rsidR="006E7689">
        <w:rPr>
          <w:rFonts w:ascii="Times New Roman" w:hAnsi="Times New Roman" w:cs="Times New Roman"/>
          <w:sz w:val="16"/>
        </w:rPr>
        <w:t xml:space="preserve"> earnings management index (EM), </w:t>
      </w:r>
      <w:r w:rsidR="006E7689" w:rsidRPr="00EE1141">
        <w:rPr>
          <w:rFonts w:ascii="Times New Roman" w:hAnsi="Times New Roman" w:cs="Times New Roman"/>
          <w:sz w:val="16"/>
        </w:rPr>
        <w:t>an indicator of whether the country has Engli</w:t>
      </w:r>
      <w:r w:rsidR="006E7689">
        <w:rPr>
          <w:rFonts w:ascii="Times New Roman" w:hAnsi="Times New Roman" w:cs="Times New Roman"/>
          <w:sz w:val="16"/>
        </w:rPr>
        <w:t>sh Common Law legal origin (UK)</w:t>
      </w:r>
      <w:r w:rsidR="0078447C">
        <w:rPr>
          <w:rFonts w:ascii="Times New Roman" w:hAnsi="Times New Roman" w:cs="Times New Roman"/>
          <w:sz w:val="16"/>
        </w:rPr>
        <w:t>,</w:t>
      </w:r>
      <w:r w:rsidR="006E7689">
        <w:rPr>
          <w:rFonts w:ascii="Times New Roman" w:hAnsi="Times New Roman" w:cs="Times New Roman"/>
          <w:sz w:val="16"/>
        </w:rPr>
        <w:t xml:space="preserve"> and the</w:t>
      </w:r>
      <w:r w:rsidR="006E7689" w:rsidRPr="00EE1141">
        <w:rPr>
          <w:rFonts w:ascii="Times New Roman" w:hAnsi="Times New Roman" w:cs="Times New Roman"/>
          <w:sz w:val="16"/>
        </w:rPr>
        <w:t xml:space="preserve"> rule of law index (RULE</w:t>
      </w:r>
      <w:r w:rsidR="006E7689">
        <w:rPr>
          <w:rFonts w:ascii="Times New Roman" w:hAnsi="Times New Roman" w:cs="Times New Roman"/>
          <w:sz w:val="16"/>
        </w:rPr>
        <w:t>). T</w:t>
      </w:r>
      <w:r w:rsidR="006E7689" w:rsidRPr="00EE1141">
        <w:rPr>
          <w:rFonts w:ascii="Times New Roman" w:hAnsi="Times New Roman" w:cs="Times New Roman"/>
          <w:sz w:val="16"/>
        </w:rPr>
        <w:t>he development of financial market proxies include the ratio of stock market capitalization over GDP (EQUITY), the ratio of domestic credit to private sector over GDP (CREDIT), the combination of the two as a general measure of financial market development (F</w:t>
      </w:r>
      <w:r w:rsidR="006E7689">
        <w:rPr>
          <w:rFonts w:ascii="Times New Roman" w:hAnsi="Times New Roman" w:cs="Times New Roman"/>
          <w:sz w:val="16"/>
        </w:rPr>
        <w:t>D</w:t>
      </w:r>
      <w:r w:rsidR="006E7689" w:rsidRPr="00EE1141">
        <w:rPr>
          <w:rFonts w:ascii="Times New Roman" w:hAnsi="Times New Roman" w:cs="Times New Roman"/>
          <w:sz w:val="16"/>
        </w:rPr>
        <w:t>), and the number of IPOs per capita (IPO).</w:t>
      </w:r>
      <w:r w:rsidRPr="00EE1141">
        <w:rPr>
          <w:rFonts w:ascii="Times New Roman" w:hAnsi="Times New Roman" w:cs="Times New Roman"/>
          <w:sz w:val="16"/>
        </w:rPr>
        <w:t xml:space="preserve"> </w:t>
      </w:r>
      <w:r w:rsidRPr="00EE1141">
        <w:rPr>
          <w:rFonts w:ascii="Times New Roman" w:hAnsi="Times New Roman" w:cs="Times New Roman"/>
          <w:sz w:val="16"/>
          <w:szCs w:val="16"/>
        </w:rPr>
        <w:t>Robust standard errors are reported in parentheses. *, **, and *** indicate significance at the 10%, 5%, and 1% level, respectively. Standard errors are clustered at the country level. Firm-level controls are winsorized at the 1% tails. Our sample includes 4</w:t>
      </w:r>
      <w:r>
        <w:rPr>
          <w:rFonts w:ascii="Times New Roman" w:hAnsi="Times New Roman" w:cs="Times New Roman"/>
          <w:sz w:val="16"/>
          <w:szCs w:val="16"/>
        </w:rPr>
        <w:t>1</w:t>
      </w:r>
      <w:r w:rsidRPr="00EE1141">
        <w:rPr>
          <w:rFonts w:ascii="Times New Roman" w:hAnsi="Times New Roman" w:cs="Times New Roman"/>
          <w:sz w:val="16"/>
          <w:szCs w:val="16"/>
        </w:rPr>
        <w:t xml:space="preserve"> countries and covers the period 2005-2014 in fiscal years. </w:t>
      </w:r>
      <w:r w:rsidRPr="00EE1141">
        <w:rPr>
          <w:rFonts w:ascii="Times New Roman" w:hAnsi="Times New Roman" w:cs="Times New Roman"/>
          <w:sz w:val="16"/>
        </w:rPr>
        <w:t xml:space="preserve">The details of </w:t>
      </w:r>
      <w:r w:rsidR="00E530A7">
        <w:rPr>
          <w:rFonts w:ascii="Times New Roman" w:hAnsi="Times New Roman" w:cs="Times New Roman"/>
          <w:sz w:val="16"/>
        </w:rPr>
        <w:t>the country-level</w:t>
      </w:r>
      <w:r w:rsidRPr="00EE1141">
        <w:rPr>
          <w:rFonts w:ascii="Times New Roman" w:hAnsi="Times New Roman" w:cs="Times New Roman"/>
          <w:sz w:val="16"/>
        </w:rPr>
        <w:t xml:space="preserve"> variables are provided in Appendix A.</w:t>
      </w:r>
    </w:p>
    <w:tbl>
      <w:tblPr>
        <w:tblW w:w="12006" w:type="dxa"/>
        <w:jc w:val="center"/>
        <w:tblLayout w:type="fixed"/>
        <w:tblCellMar>
          <w:left w:w="75" w:type="dxa"/>
          <w:right w:w="75" w:type="dxa"/>
        </w:tblCellMar>
        <w:tblLook w:val="0000" w:firstRow="0" w:lastRow="0" w:firstColumn="0" w:lastColumn="0" w:noHBand="0" w:noVBand="0"/>
      </w:tblPr>
      <w:tblGrid>
        <w:gridCol w:w="963"/>
        <w:gridCol w:w="661"/>
        <w:gridCol w:w="900"/>
        <w:gridCol w:w="990"/>
        <w:gridCol w:w="900"/>
        <w:gridCol w:w="900"/>
        <w:gridCol w:w="905"/>
        <w:gridCol w:w="963"/>
        <w:gridCol w:w="963"/>
        <w:gridCol w:w="963"/>
        <w:gridCol w:w="963"/>
        <w:gridCol w:w="963"/>
        <w:gridCol w:w="963"/>
        <w:gridCol w:w="9"/>
      </w:tblGrid>
      <w:tr w:rsidR="006E7689" w:rsidRPr="00F33A35" w:rsidTr="005A5576">
        <w:trPr>
          <w:trHeight w:val="267"/>
          <w:tblHeader/>
          <w:jc w:val="center"/>
        </w:trPr>
        <w:tc>
          <w:tcPr>
            <w:tcW w:w="963" w:type="dxa"/>
            <w:tcBorders>
              <w:top w:val="double" w:sz="4" w:space="0" w:color="auto"/>
              <w:left w:val="nil"/>
              <w:bottom w:val="single" w:sz="6" w:space="0" w:color="auto"/>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8"/>
                <w:szCs w:val="16"/>
              </w:rPr>
            </w:pPr>
          </w:p>
        </w:tc>
        <w:tc>
          <w:tcPr>
            <w:tcW w:w="11043" w:type="dxa"/>
            <w:gridSpan w:val="13"/>
            <w:tcBorders>
              <w:top w:val="double" w:sz="4" w:space="0" w:color="auto"/>
              <w:left w:val="nil"/>
              <w:bottom w:val="single" w:sz="6" w:space="0" w:color="auto"/>
              <w:right w:val="nil"/>
            </w:tcBorders>
          </w:tcPr>
          <w:p w:rsidR="006E7689" w:rsidRPr="00F33A35" w:rsidRDefault="006E7689" w:rsidP="00E530A7">
            <w:pPr>
              <w:widowControl w:val="0"/>
              <w:autoSpaceDE w:val="0"/>
              <w:autoSpaceDN w:val="0"/>
              <w:adjustRightInd w:val="0"/>
              <w:spacing w:after="0" w:line="240" w:lineRule="auto"/>
              <w:jc w:val="center"/>
              <w:rPr>
                <w:rFonts w:ascii="Times New Roman" w:hAnsi="Times New Roman" w:cs="Times New Roman"/>
                <w:sz w:val="18"/>
                <w:szCs w:val="16"/>
              </w:rPr>
            </w:pPr>
            <w:r w:rsidRPr="00F33A35">
              <w:rPr>
                <w:rFonts w:ascii="Times New Roman" w:hAnsi="Times New Roman" w:cs="Times New Roman"/>
                <w:sz w:val="18"/>
                <w:szCs w:val="16"/>
              </w:rPr>
              <w:t xml:space="preserve">Panel B: Regressions of </w:t>
            </w:r>
            <w:r w:rsidR="00E530A7">
              <w:rPr>
                <w:rFonts w:ascii="Times New Roman" w:hAnsi="Times New Roman" w:cs="Times New Roman"/>
                <w:sz w:val="18"/>
                <w:szCs w:val="16"/>
              </w:rPr>
              <w:t>C</w:t>
            </w:r>
            <w:r w:rsidRPr="00F33A35">
              <w:rPr>
                <w:rFonts w:ascii="Times New Roman" w:hAnsi="Times New Roman" w:cs="Times New Roman"/>
                <w:sz w:val="18"/>
                <w:szCs w:val="16"/>
              </w:rPr>
              <w:t xml:space="preserve">apital </w:t>
            </w:r>
            <w:r w:rsidR="00E530A7">
              <w:rPr>
                <w:rFonts w:ascii="Times New Roman" w:hAnsi="Times New Roman" w:cs="Times New Roman"/>
                <w:sz w:val="18"/>
                <w:szCs w:val="16"/>
              </w:rPr>
              <w:t>E</w:t>
            </w:r>
            <w:r w:rsidRPr="00F33A35">
              <w:rPr>
                <w:rFonts w:ascii="Times New Roman" w:hAnsi="Times New Roman" w:cs="Times New Roman"/>
                <w:sz w:val="18"/>
                <w:szCs w:val="16"/>
              </w:rPr>
              <w:t xml:space="preserve">xpenditure on the </w:t>
            </w:r>
            <w:r w:rsidR="00E530A7">
              <w:rPr>
                <w:rFonts w:ascii="Times New Roman" w:hAnsi="Times New Roman" w:cs="Times New Roman"/>
                <w:sz w:val="18"/>
                <w:szCs w:val="16"/>
              </w:rPr>
              <w:t>I</w:t>
            </w:r>
            <w:r w:rsidRPr="00F33A35">
              <w:rPr>
                <w:rFonts w:ascii="Times New Roman" w:hAnsi="Times New Roman" w:cs="Times New Roman"/>
                <w:sz w:val="18"/>
                <w:szCs w:val="16"/>
              </w:rPr>
              <w:t xml:space="preserve">nteraction of </w:t>
            </w:r>
            <w:r w:rsidR="00E530A7">
              <w:rPr>
                <w:rFonts w:ascii="Times New Roman" w:hAnsi="Times New Roman" w:cs="Times New Roman"/>
                <w:sz w:val="18"/>
                <w:szCs w:val="16"/>
              </w:rPr>
              <w:t>C</w:t>
            </w:r>
            <w:r w:rsidRPr="00F33A35">
              <w:rPr>
                <w:rFonts w:ascii="Times New Roman" w:hAnsi="Times New Roman" w:cs="Times New Roman"/>
                <w:sz w:val="18"/>
                <w:szCs w:val="16"/>
              </w:rPr>
              <w:t xml:space="preserve">ountry-level </w:t>
            </w:r>
            <w:r w:rsidR="00E530A7">
              <w:rPr>
                <w:rFonts w:ascii="Times New Roman" w:hAnsi="Times New Roman" w:cs="Times New Roman"/>
                <w:sz w:val="18"/>
                <w:szCs w:val="16"/>
              </w:rPr>
              <w:t>V</w:t>
            </w:r>
            <w:r w:rsidRPr="00F33A35">
              <w:rPr>
                <w:rFonts w:ascii="Times New Roman" w:hAnsi="Times New Roman" w:cs="Times New Roman"/>
                <w:sz w:val="18"/>
                <w:szCs w:val="16"/>
              </w:rPr>
              <w:t xml:space="preserve">ariable and </w:t>
            </w:r>
            <w:r w:rsidR="00E530A7">
              <w:rPr>
                <w:rFonts w:ascii="Times New Roman" w:hAnsi="Times New Roman" w:cs="Times New Roman"/>
                <w:sz w:val="18"/>
                <w:szCs w:val="16"/>
              </w:rPr>
              <w:t>Four</w:t>
            </w:r>
            <w:r w:rsidRPr="00F33A35">
              <w:rPr>
                <w:rFonts w:ascii="Times New Roman" w:hAnsi="Times New Roman" w:cs="Times New Roman"/>
                <w:sz w:val="18"/>
                <w:szCs w:val="16"/>
              </w:rPr>
              <w:t xml:space="preserve">th </w:t>
            </w:r>
            <w:r w:rsidR="00E530A7">
              <w:rPr>
                <w:rFonts w:ascii="Times New Roman" w:hAnsi="Times New Roman" w:cs="Times New Roman"/>
                <w:sz w:val="18"/>
                <w:szCs w:val="16"/>
              </w:rPr>
              <w:t>F</w:t>
            </w:r>
            <w:r w:rsidRPr="00F33A35">
              <w:rPr>
                <w:rFonts w:ascii="Times New Roman" w:hAnsi="Times New Roman" w:cs="Times New Roman"/>
                <w:sz w:val="18"/>
                <w:szCs w:val="16"/>
              </w:rPr>
              <w:t xml:space="preserve">iscal </w:t>
            </w:r>
            <w:r w:rsidR="00E530A7">
              <w:rPr>
                <w:rFonts w:ascii="Times New Roman" w:hAnsi="Times New Roman" w:cs="Times New Roman"/>
                <w:sz w:val="18"/>
                <w:szCs w:val="16"/>
              </w:rPr>
              <w:t>Q</w:t>
            </w:r>
            <w:r w:rsidRPr="00F33A35">
              <w:rPr>
                <w:rFonts w:ascii="Times New Roman" w:hAnsi="Times New Roman" w:cs="Times New Roman"/>
                <w:sz w:val="18"/>
                <w:szCs w:val="16"/>
              </w:rPr>
              <w:t xml:space="preserve">uarter </w:t>
            </w:r>
            <w:r w:rsidR="00E530A7">
              <w:rPr>
                <w:rFonts w:ascii="Times New Roman" w:hAnsi="Times New Roman" w:cs="Times New Roman"/>
                <w:sz w:val="18"/>
                <w:szCs w:val="16"/>
              </w:rPr>
              <w:t>D</w:t>
            </w:r>
            <w:r w:rsidRPr="00F33A35">
              <w:rPr>
                <w:rFonts w:ascii="Times New Roman" w:hAnsi="Times New Roman" w:cs="Times New Roman"/>
                <w:sz w:val="18"/>
                <w:szCs w:val="16"/>
              </w:rPr>
              <w:t>ummy</w:t>
            </w:r>
          </w:p>
        </w:tc>
      </w:tr>
      <w:tr w:rsidR="006E7689" w:rsidRPr="00F33A35" w:rsidTr="000928AC">
        <w:trPr>
          <w:gridAfter w:val="1"/>
          <w:wAfter w:w="9" w:type="dxa"/>
          <w:trHeight w:val="435"/>
          <w:tblHeader/>
          <w:jc w:val="center"/>
        </w:trPr>
        <w:tc>
          <w:tcPr>
            <w:tcW w:w="1624" w:type="dxa"/>
            <w:gridSpan w:val="2"/>
            <w:tcBorders>
              <w:left w:val="nil"/>
              <w:bottom w:val="nil"/>
              <w:right w:val="nil"/>
            </w:tcBorders>
            <w:vAlign w:val="center"/>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6521" w:type="dxa"/>
            <w:gridSpan w:val="7"/>
            <w:tcBorders>
              <w:left w:val="nil"/>
              <w:bottom w:val="nil"/>
              <w:right w:val="nil"/>
            </w:tcBorders>
            <w:vAlign w:val="center"/>
          </w:tcPr>
          <w:p w:rsidR="006E7689" w:rsidRPr="00E530A7" w:rsidRDefault="006E7689" w:rsidP="004E3829">
            <w:pPr>
              <w:widowControl w:val="0"/>
              <w:autoSpaceDE w:val="0"/>
              <w:autoSpaceDN w:val="0"/>
              <w:adjustRightInd w:val="0"/>
              <w:spacing w:after="0" w:line="240" w:lineRule="auto"/>
              <w:jc w:val="center"/>
              <w:rPr>
                <w:rFonts w:ascii="Times New Roman" w:hAnsi="Times New Roman" w:cs="Times New Roman"/>
                <w:sz w:val="18"/>
                <w:szCs w:val="16"/>
              </w:rPr>
            </w:pPr>
            <w:r w:rsidRPr="00E530A7">
              <w:rPr>
                <w:rFonts w:ascii="Times New Roman" w:hAnsi="Times New Roman" w:cs="Times New Roman"/>
                <w:sz w:val="18"/>
                <w:szCs w:val="16"/>
              </w:rPr>
              <w:t>Investor Rights and Protection (INV_RIGHTS)</w:t>
            </w:r>
          </w:p>
        </w:tc>
        <w:tc>
          <w:tcPr>
            <w:tcW w:w="3852" w:type="dxa"/>
            <w:gridSpan w:val="4"/>
            <w:tcBorders>
              <w:left w:val="nil"/>
              <w:bottom w:val="nil"/>
              <w:right w:val="nil"/>
            </w:tcBorders>
            <w:vAlign w:val="center"/>
          </w:tcPr>
          <w:p w:rsidR="006E7689" w:rsidRPr="00E530A7" w:rsidRDefault="006E7689" w:rsidP="00F33A35">
            <w:pPr>
              <w:widowControl w:val="0"/>
              <w:autoSpaceDE w:val="0"/>
              <w:autoSpaceDN w:val="0"/>
              <w:adjustRightInd w:val="0"/>
              <w:spacing w:after="0" w:line="240" w:lineRule="auto"/>
              <w:jc w:val="center"/>
              <w:rPr>
                <w:rFonts w:ascii="Times New Roman" w:hAnsi="Times New Roman" w:cs="Times New Roman"/>
                <w:sz w:val="18"/>
                <w:szCs w:val="16"/>
              </w:rPr>
            </w:pPr>
            <w:r w:rsidRPr="00E530A7">
              <w:rPr>
                <w:rFonts w:ascii="Times New Roman" w:hAnsi="Times New Roman" w:cs="Times New Roman"/>
                <w:sz w:val="18"/>
                <w:szCs w:val="16"/>
              </w:rPr>
              <w:t>Financial Market Development (FIN_MKT)</w:t>
            </w:r>
          </w:p>
        </w:tc>
      </w:tr>
      <w:tr w:rsidR="006E7689" w:rsidRPr="00F33A35" w:rsidTr="006E7689">
        <w:trPr>
          <w:gridAfter w:val="1"/>
          <w:wAfter w:w="9" w:type="dxa"/>
          <w:tblHeader/>
          <w:jc w:val="center"/>
        </w:trPr>
        <w:tc>
          <w:tcPr>
            <w:tcW w:w="1624" w:type="dxa"/>
            <w:gridSpan w:val="2"/>
            <w:tcBorders>
              <w:top w:val="nil"/>
              <w:left w:val="nil"/>
              <w:bottom w:val="single" w:sz="6" w:space="0" w:color="auto"/>
              <w:right w:val="nil"/>
            </w:tcBorders>
            <w:vAlign w:val="center"/>
          </w:tcPr>
          <w:p w:rsidR="006E7689" w:rsidRPr="00F33A35" w:rsidRDefault="006E7689" w:rsidP="00E530A7">
            <w:pPr>
              <w:widowControl w:val="0"/>
              <w:autoSpaceDE w:val="0"/>
              <w:autoSpaceDN w:val="0"/>
              <w:adjustRightInd w:val="0"/>
              <w:spacing w:after="0" w:line="240" w:lineRule="auto"/>
              <w:jc w:val="center"/>
              <w:rPr>
                <w:rFonts w:ascii="Times New Roman" w:hAnsi="Times New Roman" w:cs="Times New Roman"/>
                <w:sz w:val="16"/>
                <w:szCs w:val="16"/>
              </w:rPr>
            </w:pPr>
            <w:r w:rsidRPr="00E530A7">
              <w:rPr>
                <w:rFonts w:ascii="Times New Roman" w:hAnsi="Times New Roman" w:cs="Times New Roman"/>
                <w:sz w:val="20"/>
                <w:szCs w:val="16"/>
              </w:rPr>
              <w:t>V</w:t>
            </w:r>
            <w:r w:rsidR="00E530A7" w:rsidRPr="00E530A7">
              <w:rPr>
                <w:rFonts w:ascii="Times New Roman" w:hAnsi="Times New Roman" w:cs="Times New Roman"/>
                <w:sz w:val="20"/>
                <w:szCs w:val="16"/>
              </w:rPr>
              <w:t>ariables</w:t>
            </w:r>
          </w:p>
        </w:tc>
        <w:tc>
          <w:tcPr>
            <w:tcW w:w="900" w:type="dxa"/>
            <w:tcBorders>
              <w:top w:val="nil"/>
              <w:left w:val="nil"/>
              <w:bottom w:val="single" w:sz="6" w:space="0" w:color="auto"/>
              <w:right w:val="nil"/>
            </w:tcBorders>
            <w:vAlign w:val="center"/>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AD</w:t>
            </w:r>
          </w:p>
        </w:tc>
        <w:tc>
          <w:tcPr>
            <w:tcW w:w="990" w:type="dxa"/>
            <w:tcBorders>
              <w:top w:val="nil"/>
              <w:left w:val="nil"/>
              <w:bottom w:val="single" w:sz="6" w:space="0" w:color="auto"/>
              <w:right w:val="nil"/>
            </w:tcBorders>
            <w:vAlign w:val="center"/>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AS</w:t>
            </w:r>
          </w:p>
        </w:tc>
        <w:tc>
          <w:tcPr>
            <w:tcW w:w="900" w:type="dxa"/>
            <w:tcBorders>
              <w:top w:val="nil"/>
              <w:left w:val="nil"/>
              <w:bottom w:val="single" w:sz="6" w:space="0" w:color="auto"/>
              <w:right w:val="nil"/>
            </w:tcBorders>
            <w:vAlign w:val="center"/>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DISC</w:t>
            </w:r>
          </w:p>
        </w:tc>
        <w:tc>
          <w:tcPr>
            <w:tcW w:w="900" w:type="dxa"/>
            <w:tcBorders>
              <w:top w:val="nil"/>
              <w:left w:val="nil"/>
              <w:bottom w:val="single" w:sz="6" w:space="0" w:color="auto"/>
              <w:right w:val="nil"/>
            </w:tcBorders>
            <w:vAlign w:val="center"/>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ACCT</w:t>
            </w:r>
          </w:p>
        </w:tc>
        <w:tc>
          <w:tcPr>
            <w:tcW w:w="905" w:type="dxa"/>
            <w:tcBorders>
              <w:top w:val="nil"/>
              <w:left w:val="nil"/>
              <w:bottom w:val="single" w:sz="6" w:space="0" w:color="auto"/>
              <w:right w:val="nil"/>
            </w:tcBorders>
            <w:vAlign w:val="center"/>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EM</w:t>
            </w:r>
          </w:p>
        </w:tc>
        <w:tc>
          <w:tcPr>
            <w:tcW w:w="963" w:type="dxa"/>
            <w:tcBorders>
              <w:top w:val="nil"/>
              <w:left w:val="nil"/>
              <w:bottom w:val="single" w:sz="6" w:space="0" w:color="auto"/>
              <w:right w:val="nil"/>
            </w:tcBorders>
            <w:vAlign w:val="center"/>
          </w:tcPr>
          <w:p w:rsidR="006E7689" w:rsidRPr="00F33A35" w:rsidRDefault="006E7689" w:rsidP="006E7689">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UK</w:t>
            </w:r>
          </w:p>
        </w:tc>
        <w:tc>
          <w:tcPr>
            <w:tcW w:w="963" w:type="dxa"/>
            <w:tcBorders>
              <w:top w:val="nil"/>
              <w:left w:val="nil"/>
              <w:bottom w:val="single" w:sz="6" w:space="0" w:color="auto"/>
              <w:right w:val="nil"/>
            </w:tcBorders>
            <w:vAlign w:val="center"/>
          </w:tcPr>
          <w:p w:rsidR="006E7689" w:rsidRPr="00F33A35" w:rsidRDefault="006E7689" w:rsidP="006E7689">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RULE</w:t>
            </w:r>
          </w:p>
        </w:tc>
        <w:tc>
          <w:tcPr>
            <w:tcW w:w="963" w:type="dxa"/>
            <w:tcBorders>
              <w:top w:val="nil"/>
              <w:left w:val="nil"/>
              <w:bottom w:val="single" w:sz="6" w:space="0" w:color="auto"/>
              <w:right w:val="nil"/>
            </w:tcBorders>
            <w:vAlign w:val="center"/>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EQUITY</w:t>
            </w:r>
          </w:p>
        </w:tc>
        <w:tc>
          <w:tcPr>
            <w:tcW w:w="963" w:type="dxa"/>
            <w:tcBorders>
              <w:top w:val="nil"/>
              <w:left w:val="nil"/>
              <w:bottom w:val="single" w:sz="6" w:space="0" w:color="auto"/>
              <w:right w:val="nil"/>
            </w:tcBorders>
            <w:vAlign w:val="center"/>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CREDIT</w:t>
            </w:r>
          </w:p>
        </w:tc>
        <w:tc>
          <w:tcPr>
            <w:tcW w:w="963" w:type="dxa"/>
            <w:tcBorders>
              <w:top w:val="nil"/>
              <w:left w:val="nil"/>
              <w:bottom w:val="single" w:sz="6" w:space="0" w:color="auto"/>
              <w:right w:val="nil"/>
            </w:tcBorders>
            <w:vAlign w:val="center"/>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FD</w:t>
            </w:r>
          </w:p>
        </w:tc>
        <w:tc>
          <w:tcPr>
            <w:tcW w:w="963" w:type="dxa"/>
            <w:tcBorders>
              <w:top w:val="nil"/>
              <w:left w:val="nil"/>
              <w:bottom w:val="single" w:sz="6" w:space="0" w:color="auto"/>
              <w:right w:val="nil"/>
            </w:tcBorders>
            <w:vAlign w:val="center"/>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IPO</w:t>
            </w:r>
          </w:p>
        </w:tc>
      </w:tr>
      <w:tr w:rsidR="006E7689" w:rsidRPr="00F33A35" w:rsidTr="006E7689">
        <w:trPr>
          <w:gridAfter w:val="1"/>
          <w:wAfter w:w="9" w:type="dxa"/>
          <w:tblHeader/>
          <w:jc w:val="center"/>
        </w:trPr>
        <w:tc>
          <w:tcPr>
            <w:tcW w:w="1624" w:type="dxa"/>
            <w:gridSpan w:val="2"/>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90"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5"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6E7689" w:rsidRPr="00F33A35" w:rsidRDefault="006E7689" w:rsidP="006E7689">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6E7689" w:rsidRPr="00F33A35" w:rsidRDefault="006E7689" w:rsidP="006E7689">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rPr>
                <w:rFonts w:ascii="Times New Roman" w:hAnsi="Times New Roman" w:cs="Times New Roman"/>
                <w:sz w:val="16"/>
                <w:szCs w:val="16"/>
              </w:rPr>
            </w:pPr>
            <w:r w:rsidRPr="00F33A35">
              <w:rPr>
                <w:rFonts w:ascii="Times New Roman" w:hAnsi="Times New Roman" w:cs="Times New Roman"/>
                <w:sz w:val="16"/>
                <w:szCs w:val="16"/>
              </w:rPr>
              <w:t>C</w:t>
            </w:r>
            <w:r>
              <w:rPr>
                <w:rFonts w:ascii="Times New Roman" w:hAnsi="Times New Roman" w:cs="Times New Roman"/>
                <w:sz w:val="16"/>
                <w:szCs w:val="16"/>
              </w:rPr>
              <w:t xml:space="preserve">ash </w:t>
            </w:r>
            <w:r w:rsidRPr="00F33A35">
              <w:rPr>
                <w:rFonts w:ascii="Times New Roman" w:hAnsi="Times New Roman" w:cs="Times New Roman"/>
                <w:sz w:val="16"/>
                <w:szCs w:val="16"/>
              </w:rPr>
              <w:t>F</w:t>
            </w:r>
            <w:r>
              <w:rPr>
                <w:rFonts w:ascii="Times New Roman" w:hAnsi="Times New Roman" w:cs="Times New Roman"/>
                <w:sz w:val="16"/>
                <w:szCs w:val="16"/>
              </w:rPr>
              <w:t>low</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4.197***</w:t>
            </w:r>
          </w:p>
        </w:tc>
        <w:tc>
          <w:tcPr>
            <w:tcW w:w="99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4.241***</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4.286***</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4.198***</w:t>
            </w:r>
          </w:p>
        </w:tc>
        <w:tc>
          <w:tcPr>
            <w:tcW w:w="905"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4.197***</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4.263***</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4.286***</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4.231***</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4.192***</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4.148***</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4.197***</w:t>
            </w: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(0.350)</w:t>
            </w:r>
          </w:p>
        </w:tc>
        <w:tc>
          <w:tcPr>
            <w:tcW w:w="99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(0.362)</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(0.385)</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(0.365)</w:t>
            </w:r>
          </w:p>
        </w:tc>
        <w:tc>
          <w:tcPr>
            <w:tcW w:w="905"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(0.368)</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(0.363)</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(0.371)</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(0.377)</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(0.370)</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(0.378)</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(0.347)</w:t>
            </w: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Tobin’s </w:t>
            </w:r>
            <w:r w:rsidRPr="00F33A35">
              <w:rPr>
                <w:rFonts w:ascii="Times New Roman" w:hAnsi="Times New Roman" w:cs="Times New Roman"/>
                <w:sz w:val="16"/>
                <w:szCs w:val="16"/>
              </w:rPr>
              <w:t>q</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0.122***</w:t>
            </w:r>
          </w:p>
        </w:tc>
        <w:tc>
          <w:tcPr>
            <w:tcW w:w="99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0.125***</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0.128***</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0.122***</w:t>
            </w:r>
          </w:p>
        </w:tc>
        <w:tc>
          <w:tcPr>
            <w:tcW w:w="905"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0.119***</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0.126***</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0.125***</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0.125***</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0.126***</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0.125***</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0.122***</w:t>
            </w: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(0.005</w:t>
            </w:r>
            <w:r w:rsidR="003A641B">
              <w:rPr>
                <w:rFonts w:ascii="Times New Roman" w:hAnsi="Times New Roman" w:cs="Times New Roman"/>
                <w:sz w:val="16"/>
                <w:szCs w:val="16"/>
              </w:rPr>
              <w:t>8</w:t>
            </w:r>
            <w:r w:rsidRPr="00F62A80">
              <w:rPr>
                <w:rFonts w:ascii="Times New Roman" w:hAnsi="Times New Roman" w:cs="Times New Roman"/>
                <w:sz w:val="16"/>
                <w:szCs w:val="16"/>
              </w:rPr>
              <w:t>)</w:t>
            </w:r>
          </w:p>
        </w:tc>
        <w:tc>
          <w:tcPr>
            <w:tcW w:w="990"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(0.0071)</w:t>
            </w:r>
          </w:p>
        </w:tc>
        <w:tc>
          <w:tcPr>
            <w:tcW w:w="900"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(0.0077)</w:t>
            </w:r>
          </w:p>
        </w:tc>
        <w:tc>
          <w:tcPr>
            <w:tcW w:w="900"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(0.006</w:t>
            </w:r>
            <w:r w:rsidR="003A641B">
              <w:rPr>
                <w:rFonts w:ascii="Times New Roman" w:hAnsi="Times New Roman" w:cs="Times New Roman"/>
                <w:sz w:val="16"/>
                <w:szCs w:val="16"/>
              </w:rPr>
              <w:t>2</w:t>
            </w:r>
            <w:r w:rsidRPr="00F62A80">
              <w:rPr>
                <w:rFonts w:ascii="Times New Roman" w:hAnsi="Times New Roman" w:cs="Times New Roman"/>
                <w:sz w:val="16"/>
                <w:szCs w:val="16"/>
              </w:rPr>
              <w:t>)</w:t>
            </w:r>
          </w:p>
        </w:tc>
        <w:tc>
          <w:tcPr>
            <w:tcW w:w="905"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(0.005</w:t>
            </w:r>
            <w:r w:rsidR="003A641B">
              <w:rPr>
                <w:rFonts w:ascii="Times New Roman" w:hAnsi="Times New Roman" w:cs="Times New Roman"/>
                <w:sz w:val="16"/>
                <w:szCs w:val="16"/>
              </w:rPr>
              <w:t>2</w:t>
            </w:r>
            <w:r w:rsidRPr="00F62A80">
              <w:rPr>
                <w:rFonts w:ascii="Times New Roman" w:hAnsi="Times New Roman" w:cs="Times New Roman"/>
                <w:sz w:val="16"/>
                <w:szCs w:val="16"/>
              </w:rPr>
              <w:t>)</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(0.0072)</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w:t>
            </w:r>
            <w:r w:rsidR="003A641B">
              <w:rPr>
                <w:rFonts w:ascii="Times New Roman" w:hAnsi="Times New Roman" w:cs="Times New Roman"/>
                <w:sz w:val="16"/>
                <w:szCs w:val="16"/>
              </w:rPr>
              <w:t>70</w:t>
            </w:r>
            <w:r w:rsidRPr="00F62A80">
              <w:rPr>
                <w:rFonts w:ascii="Times New Roman" w:hAnsi="Times New Roman" w:cs="Times New Roman"/>
                <w:sz w:val="16"/>
                <w:szCs w:val="16"/>
              </w:rPr>
              <w:t>)</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(0.008</w:t>
            </w:r>
            <w:r w:rsidR="003A641B">
              <w:rPr>
                <w:rFonts w:ascii="Times New Roman" w:hAnsi="Times New Roman" w:cs="Times New Roman"/>
                <w:sz w:val="16"/>
                <w:szCs w:val="24"/>
              </w:rPr>
              <w:t>2</w:t>
            </w:r>
            <w:r w:rsidRPr="00F62A80">
              <w:rPr>
                <w:rFonts w:ascii="Times New Roman" w:hAnsi="Times New Roman" w:cs="Times New Roman"/>
                <w:sz w:val="16"/>
                <w:szCs w:val="24"/>
              </w:rPr>
              <w:t>)</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(0.007</w:t>
            </w:r>
            <w:r w:rsidR="003A641B">
              <w:rPr>
                <w:rFonts w:ascii="Times New Roman" w:hAnsi="Times New Roman" w:cs="Times New Roman"/>
                <w:sz w:val="16"/>
                <w:szCs w:val="24"/>
              </w:rPr>
              <w:t>1</w:t>
            </w:r>
            <w:r w:rsidRPr="00F62A80">
              <w:rPr>
                <w:rFonts w:ascii="Times New Roman" w:hAnsi="Times New Roman" w:cs="Times New Roman"/>
                <w:sz w:val="16"/>
                <w:szCs w:val="24"/>
              </w:rPr>
              <w:t>)</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(0.0081)</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w:t>
            </w:r>
            <w:r w:rsidR="003A641B">
              <w:rPr>
                <w:rFonts w:ascii="Times New Roman" w:hAnsi="Times New Roman" w:cs="Times New Roman"/>
                <w:sz w:val="16"/>
                <w:szCs w:val="24"/>
              </w:rPr>
              <w:t>60</w:t>
            </w:r>
            <w:r w:rsidRPr="00F62A80">
              <w:rPr>
                <w:rFonts w:ascii="Times New Roman" w:hAnsi="Times New Roman" w:cs="Times New Roman"/>
                <w:sz w:val="16"/>
                <w:szCs w:val="24"/>
              </w:rPr>
              <w:t>)</w:t>
            </w: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rPr>
                <w:rFonts w:ascii="Times New Roman" w:hAnsi="Times New Roman" w:cs="Times New Roman"/>
                <w:sz w:val="16"/>
                <w:szCs w:val="16"/>
              </w:rPr>
            </w:pPr>
            <w:r w:rsidRPr="00F33A35">
              <w:rPr>
                <w:rFonts w:ascii="Times New Roman" w:hAnsi="Times New Roman" w:cs="Times New Roman"/>
                <w:sz w:val="16"/>
                <w:szCs w:val="16"/>
              </w:rPr>
              <w:t>Q4 Dummy</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0.340***</w:t>
            </w:r>
          </w:p>
        </w:tc>
        <w:tc>
          <w:tcPr>
            <w:tcW w:w="99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0.340***</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0.296***</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0.764***</w:t>
            </w:r>
          </w:p>
        </w:tc>
        <w:tc>
          <w:tcPr>
            <w:tcW w:w="905"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0.0934***</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0.267***</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0.350***</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0.210***</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0.385***</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0.308***</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0.267***</w:t>
            </w: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(0.0584)</w:t>
            </w:r>
          </w:p>
        </w:tc>
        <w:tc>
          <w:tcPr>
            <w:tcW w:w="99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(0.0777)</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(0.0920)</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(0.182)</w:t>
            </w:r>
          </w:p>
        </w:tc>
        <w:tc>
          <w:tcPr>
            <w:tcW w:w="905"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(0.0207)</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(0.0501)</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(0.0409)</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(0.0361)</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(0.0641)</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(0.0628)</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(0.0493)</w:t>
            </w: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F33A3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L</w:t>
            </w:r>
            <w:r w:rsidRPr="00F33A35">
              <w:rPr>
                <w:rFonts w:ascii="Times New Roman" w:hAnsi="Times New Roman" w:cs="Times New Roman"/>
                <w:sz w:val="16"/>
                <w:szCs w:val="16"/>
              </w:rPr>
              <w:t>og_GDP</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-0.0572***</w:t>
            </w:r>
          </w:p>
        </w:tc>
        <w:tc>
          <w:tcPr>
            <w:tcW w:w="99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-0.0631***</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-0.0640***</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-0.0320</w:t>
            </w:r>
          </w:p>
        </w:tc>
        <w:tc>
          <w:tcPr>
            <w:tcW w:w="905"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-0.0555**</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-0.0616***</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-0.122***</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-0.0643***</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-0.0560**</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-0.0604**</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-0.0486**</w:t>
            </w: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(0.0197)</w:t>
            </w:r>
          </w:p>
        </w:tc>
        <w:tc>
          <w:tcPr>
            <w:tcW w:w="99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(0.0186)</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(0.0180)</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(0.0267)</w:t>
            </w:r>
          </w:p>
        </w:tc>
        <w:tc>
          <w:tcPr>
            <w:tcW w:w="905"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(0.0224)</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(0.0176)</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(0.0403)</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(0.0192)</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(0.0233)</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(0.0226)</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(0.0189)</w:t>
            </w: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rPr>
                <w:rFonts w:ascii="Times New Roman" w:hAnsi="Times New Roman" w:cs="Times New Roman"/>
                <w:sz w:val="16"/>
                <w:szCs w:val="16"/>
              </w:rPr>
            </w:pPr>
            <w:r w:rsidRPr="00F33A35">
              <w:rPr>
                <w:rFonts w:ascii="Times New Roman" w:hAnsi="Times New Roman" w:cs="Times New Roman"/>
                <w:sz w:val="16"/>
                <w:szCs w:val="16"/>
              </w:rPr>
              <w:t>GDP_GRO</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0.0185**</w:t>
            </w:r>
          </w:p>
        </w:tc>
        <w:tc>
          <w:tcPr>
            <w:tcW w:w="99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0.0237***</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0.0221***</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0.0204**</w:t>
            </w:r>
          </w:p>
        </w:tc>
        <w:tc>
          <w:tcPr>
            <w:tcW w:w="905"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0.0199**</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0.0213***</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0.0172**</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0.0210**</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0.0171**</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0.0206**</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0.0184**</w:t>
            </w: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7766C2">
            <w:pPr>
              <w:widowControl w:val="0"/>
              <w:autoSpaceDE w:val="0"/>
              <w:autoSpaceDN w:val="0"/>
              <w:adjustRightInd w:val="0"/>
              <w:spacing w:after="120" w:line="240" w:lineRule="auto"/>
              <w:rPr>
                <w:rFonts w:ascii="Times New Roman" w:hAnsi="Times New Roman" w:cs="Times New Roman"/>
                <w:sz w:val="16"/>
                <w:szCs w:val="16"/>
              </w:rPr>
            </w:pPr>
          </w:p>
        </w:tc>
        <w:tc>
          <w:tcPr>
            <w:tcW w:w="900"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(0.0077)</w:t>
            </w:r>
          </w:p>
        </w:tc>
        <w:tc>
          <w:tcPr>
            <w:tcW w:w="990"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(0.0082)</w:t>
            </w:r>
          </w:p>
        </w:tc>
        <w:tc>
          <w:tcPr>
            <w:tcW w:w="900"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(0.0078)</w:t>
            </w:r>
          </w:p>
        </w:tc>
        <w:tc>
          <w:tcPr>
            <w:tcW w:w="900"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(0.0080)</w:t>
            </w:r>
          </w:p>
        </w:tc>
        <w:tc>
          <w:tcPr>
            <w:tcW w:w="905"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(0.008</w:t>
            </w:r>
            <w:r w:rsidR="003A641B">
              <w:rPr>
                <w:rFonts w:ascii="Times New Roman" w:hAnsi="Times New Roman" w:cs="Times New Roman"/>
                <w:sz w:val="16"/>
                <w:szCs w:val="16"/>
              </w:rPr>
              <w:t>1</w:t>
            </w:r>
            <w:r w:rsidRPr="00F62A80">
              <w:rPr>
                <w:rFonts w:ascii="Times New Roman" w:hAnsi="Times New Roman" w:cs="Times New Roman"/>
                <w:sz w:val="16"/>
                <w:szCs w:val="16"/>
              </w:rPr>
              <w:t>)</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(0.0076)</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(0.0074)</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(0.008</w:t>
            </w:r>
            <w:r w:rsidR="003A641B">
              <w:rPr>
                <w:rFonts w:ascii="Times New Roman" w:hAnsi="Times New Roman" w:cs="Times New Roman"/>
                <w:sz w:val="16"/>
                <w:szCs w:val="24"/>
              </w:rPr>
              <w:t>9</w:t>
            </w:r>
            <w:r w:rsidRPr="00F62A80">
              <w:rPr>
                <w:rFonts w:ascii="Times New Roman" w:hAnsi="Times New Roman" w:cs="Times New Roman"/>
                <w:sz w:val="16"/>
                <w:szCs w:val="24"/>
              </w:rPr>
              <w:t>)</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(0.0077)</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(0.0085)</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(0.0071)</w:t>
            </w: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rPr>
                <w:rFonts w:ascii="Times New Roman" w:hAnsi="Times New Roman" w:cs="Times New Roman"/>
                <w:sz w:val="16"/>
                <w:szCs w:val="16"/>
              </w:rPr>
            </w:pPr>
            <w:r w:rsidRPr="00F33A35">
              <w:rPr>
                <w:rFonts w:ascii="Times New Roman" w:hAnsi="Times New Roman" w:cs="Times New Roman"/>
                <w:sz w:val="16"/>
                <w:szCs w:val="16"/>
              </w:rPr>
              <w:t>INV_RIGHTS</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0.00168</w:t>
            </w:r>
          </w:p>
        </w:tc>
        <w:tc>
          <w:tcPr>
            <w:tcW w:w="99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-0.0437</w:t>
            </w:r>
          </w:p>
        </w:tc>
        <w:tc>
          <w:tcPr>
            <w:tcW w:w="900"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-0.0034</w:t>
            </w:r>
          </w:p>
        </w:tc>
        <w:tc>
          <w:tcPr>
            <w:tcW w:w="900"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-0.0017</w:t>
            </w:r>
          </w:p>
        </w:tc>
        <w:tc>
          <w:tcPr>
            <w:tcW w:w="905"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-0.0019</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-0.0108</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0.110*</w:t>
            </w:r>
          </w:p>
        </w:tc>
        <w:tc>
          <w:tcPr>
            <w:tcW w:w="963"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(0.0135)</w:t>
            </w:r>
          </w:p>
        </w:tc>
        <w:tc>
          <w:tcPr>
            <w:tcW w:w="99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(0.0926)</w:t>
            </w:r>
          </w:p>
        </w:tc>
        <w:tc>
          <w:tcPr>
            <w:tcW w:w="900"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(0.009</w:t>
            </w:r>
            <w:r w:rsidR="003A641B">
              <w:rPr>
                <w:rFonts w:ascii="Times New Roman" w:hAnsi="Times New Roman" w:cs="Times New Roman"/>
                <w:sz w:val="16"/>
                <w:szCs w:val="16"/>
              </w:rPr>
              <w:t>6</w:t>
            </w:r>
            <w:r w:rsidRPr="00F62A80">
              <w:rPr>
                <w:rFonts w:ascii="Times New Roman" w:hAnsi="Times New Roman" w:cs="Times New Roman"/>
                <w:sz w:val="16"/>
                <w:szCs w:val="16"/>
              </w:rPr>
              <w:t>)</w:t>
            </w:r>
          </w:p>
        </w:tc>
        <w:tc>
          <w:tcPr>
            <w:tcW w:w="900"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(0.0033)</w:t>
            </w:r>
          </w:p>
        </w:tc>
        <w:tc>
          <w:tcPr>
            <w:tcW w:w="905"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(0.0024)</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(0.0373)</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(0.0578)</w:t>
            </w:r>
          </w:p>
        </w:tc>
        <w:tc>
          <w:tcPr>
            <w:tcW w:w="963"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r>
      <w:tr w:rsidR="00F62A80" w:rsidRPr="00F33A35" w:rsidTr="00F62A80">
        <w:trPr>
          <w:gridAfter w:val="1"/>
          <w:wAfter w:w="9" w:type="dxa"/>
          <w:tblHeader/>
          <w:jc w:val="center"/>
        </w:trPr>
        <w:tc>
          <w:tcPr>
            <w:tcW w:w="1624" w:type="dxa"/>
            <w:gridSpan w:val="2"/>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rPr>
                <w:rFonts w:ascii="Times New Roman" w:hAnsi="Times New Roman" w:cs="Times New Roman"/>
                <w:sz w:val="16"/>
                <w:szCs w:val="16"/>
              </w:rPr>
            </w:pPr>
            <w:r w:rsidRPr="00F33A35">
              <w:rPr>
                <w:rFonts w:ascii="Times New Roman" w:hAnsi="Times New Roman" w:cs="Times New Roman"/>
                <w:sz w:val="16"/>
                <w:szCs w:val="16"/>
              </w:rPr>
              <w:t>INV_RIGHTS× Q4 Dummy</w:t>
            </w:r>
          </w:p>
        </w:tc>
        <w:tc>
          <w:tcPr>
            <w:tcW w:w="900" w:type="dxa"/>
            <w:tcBorders>
              <w:top w:val="nil"/>
              <w:left w:val="nil"/>
              <w:bottom w:val="nil"/>
              <w:right w:val="nil"/>
            </w:tcBorders>
            <w:vAlign w:val="center"/>
          </w:tcPr>
          <w:p w:rsidR="00F62A80" w:rsidRPr="00F62A80" w:rsidRDefault="00F62A80" w:rsidP="00F62A80">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-0.0436***</w:t>
            </w:r>
          </w:p>
        </w:tc>
        <w:tc>
          <w:tcPr>
            <w:tcW w:w="990" w:type="dxa"/>
            <w:tcBorders>
              <w:top w:val="nil"/>
              <w:left w:val="nil"/>
              <w:bottom w:val="nil"/>
              <w:right w:val="nil"/>
            </w:tcBorders>
            <w:vAlign w:val="center"/>
          </w:tcPr>
          <w:p w:rsidR="00F62A80" w:rsidRPr="00F62A80" w:rsidRDefault="00F62A80" w:rsidP="00F62A80">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-0.272**</w:t>
            </w:r>
          </w:p>
        </w:tc>
        <w:tc>
          <w:tcPr>
            <w:tcW w:w="900" w:type="dxa"/>
            <w:tcBorders>
              <w:top w:val="nil"/>
              <w:left w:val="nil"/>
              <w:bottom w:val="nil"/>
              <w:right w:val="nil"/>
            </w:tcBorders>
            <w:vAlign w:val="center"/>
          </w:tcPr>
          <w:p w:rsidR="00F62A80" w:rsidRPr="00F62A80" w:rsidRDefault="00F62A80" w:rsidP="00F62A80">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-0.0183</w:t>
            </w:r>
          </w:p>
        </w:tc>
        <w:tc>
          <w:tcPr>
            <w:tcW w:w="900" w:type="dxa"/>
            <w:tcBorders>
              <w:top w:val="nil"/>
              <w:left w:val="nil"/>
              <w:bottom w:val="nil"/>
              <w:right w:val="nil"/>
            </w:tcBorders>
            <w:vAlign w:val="center"/>
          </w:tcPr>
          <w:p w:rsidR="00F62A80" w:rsidRPr="00F62A80" w:rsidRDefault="00F62A80" w:rsidP="00F62A80">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-0.0087***</w:t>
            </w:r>
          </w:p>
        </w:tc>
        <w:tc>
          <w:tcPr>
            <w:tcW w:w="905" w:type="dxa"/>
            <w:tcBorders>
              <w:top w:val="nil"/>
              <w:left w:val="nil"/>
              <w:bottom w:val="nil"/>
              <w:right w:val="nil"/>
            </w:tcBorders>
            <w:vAlign w:val="center"/>
          </w:tcPr>
          <w:p w:rsidR="00F62A80" w:rsidRPr="00F62A80" w:rsidRDefault="00F62A80" w:rsidP="00F62A80">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0.007</w:t>
            </w:r>
            <w:r>
              <w:rPr>
                <w:rFonts w:ascii="Times New Roman" w:hAnsi="Times New Roman" w:cs="Times New Roman"/>
                <w:sz w:val="16"/>
                <w:szCs w:val="16"/>
              </w:rPr>
              <w:t>1</w:t>
            </w:r>
            <w:r w:rsidRPr="00F62A80">
              <w:rPr>
                <w:rFonts w:ascii="Times New Roman" w:hAnsi="Times New Roman" w:cs="Times New Roman"/>
                <w:sz w:val="16"/>
                <w:szCs w:val="16"/>
              </w:rPr>
              <w:t>***</w:t>
            </w:r>
          </w:p>
        </w:tc>
        <w:tc>
          <w:tcPr>
            <w:tcW w:w="963" w:type="dxa"/>
            <w:tcBorders>
              <w:top w:val="nil"/>
              <w:left w:val="nil"/>
              <w:bottom w:val="nil"/>
              <w:right w:val="nil"/>
            </w:tcBorders>
            <w:vAlign w:val="center"/>
          </w:tcPr>
          <w:p w:rsidR="00F62A80" w:rsidRPr="00F62A80" w:rsidRDefault="00F62A80" w:rsidP="00F62A80">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-0.134**</w:t>
            </w:r>
          </w:p>
        </w:tc>
        <w:tc>
          <w:tcPr>
            <w:tcW w:w="963" w:type="dxa"/>
            <w:tcBorders>
              <w:top w:val="nil"/>
              <w:left w:val="nil"/>
              <w:bottom w:val="nil"/>
              <w:right w:val="nil"/>
            </w:tcBorders>
            <w:vAlign w:val="center"/>
          </w:tcPr>
          <w:p w:rsidR="00F62A80" w:rsidRPr="00F62A80" w:rsidRDefault="00F62A80" w:rsidP="00F62A80">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-0.137***</w:t>
            </w:r>
          </w:p>
        </w:tc>
        <w:tc>
          <w:tcPr>
            <w:tcW w:w="963" w:type="dxa"/>
            <w:tcBorders>
              <w:top w:val="nil"/>
              <w:left w:val="nil"/>
              <w:bottom w:val="nil"/>
              <w:right w:val="nil"/>
            </w:tcBorders>
            <w:vAlign w:val="bottom"/>
          </w:tcPr>
          <w:p w:rsidR="00F62A80" w:rsidRPr="00F33A35" w:rsidRDefault="00F62A80" w:rsidP="00231F5E">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vAlign w:val="bottom"/>
          </w:tcPr>
          <w:p w:rsidR="00F62A80" w:rsidRPr="00F33A35" w:rsidRDefault="00F62A80" w:rsidP="00231F5E">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vAlign w:val="bottom"/>
          </w:tcPr>
          <w:p w:rsidR="00F62A80" w:rsidRPr="00F33A35" w:rsidRDefault="00F62A80" w:rsidP="00231F5E">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vAlign w:val="bottom"/>
          </w:tcPr>
          <w:p w:rsidR="00F62A80" w:rsidRPr="00F33A35" w:rsidRDefault="00F62A80" w:rsidP="00231F5E">
            <w:pPr>
              <w:widowControl w:val="0"/>
              <w:autoSpaceDE w:val="0"/>
              <w:autoSpaceDN w:val="0"/>
              <w:adjustRightInd w:val="0"/>
              <w:spacing w:after="0" w:line="240" w:lineRule="auto"/>
              <w:jc w:val="center"/>
              <w:rPr>
                <w:rFonts w:ascii="Times New Roman" w:hAnsi="Times New Roman" w:cs="Times New Roman"/>
                <w:sz w:val="16"/>
                <w:szCs w:val="16"/>
              </w:rPr>
            </w:pP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(0.0118)</w:t>
            </w:r>
          </w:p>
        </w:tc>
        <w:tc>
          <w:tcPr>
            <w:tcW w:w="99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(0.117)</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(0.0118)</w:t>
            </w:r>
          </w:p>
        </w:tc>
        <w:tc>
          <w:tcPr>
            <w:tcW w:w="900"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(0.0026)</w:t>
            </w:r>
          </w:p>
        </w:tc>
        <w:tc>
          <w:tcPr>
            <w:tcW w:w="905"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(0.002</w:t>
            </w:r>
            <w:r w:rsidR="003A641B">
              <w:rPr>
                <w:rFonts w:ascii="Times New Roman" w:hAnsi="Times New Roman" w:cs="Times New Roman"/>
                <w:sz w:val="16"/>
                <w:szCs w:val="16"/>
              </w:rPr>
              <w:t>1</w:t>
            </w:r>
            <w:r w:rsidRPr="00F62A80">
              <w:rPr>
                <w:rFonts w:ascii="Times New Roman" w:hAnsi="Times New Roman" w:cs="Times New Roman"/>
                <w:sz w:val="16"/>
                <w:szCs w:val="16"/>
              </w:rPr>
              <w:t>)</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(0.0526)</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16"/>
              </w:rPr>
            </w:pPr>
            <w:r w:rsidRPr="00F62A80">
              <w:rPr>
                <w:rFonts w:ascii="Times New Roman" w:hAnsi="Times New Roman" w:cs="Times New Roman"/>
                <w:sz w:val="16"/>
                <w:szCs w:val="16"/>
              </w:rPr>
              <w:t>(0.0273)</w:t>
            </w:r>
          </w:p>
        </w:tc>
        <w:tc>
          <w:tcPr>
            <w:tcW w:w="963"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F33A35">
            <w:pPr>
              <w:widowControl w:val="0"/>
              <w:autoSpaceDE w:val="0"/>
              <w:autoSpaceDN w:val="0"/>
              <w:adjustRightInd w:val="0"/>
              <w:spacing w:after="0" w:line="240" w:lineRule="auto"/>
              <w:rPr>
                <w:rFonts w:ascii="Times New Roman" w:hAnsi="Times New Roman" w:cs="Times New Roman"/>
                <w:sz w:val="16"/>
                <w:szCs w:val="16"/>
              </w:rPr>
            </w:pPr>
            <w:r w:rsidRPr="00F33A35">
              <w:rPr>
                <w:rFonts w:ascii="Times New Roman" w:hAnsi="Times New Roman" w:cs="Times New Roman"/>
                <w:sz w:val="16"/>
                <w:szCs w:val="16"/>
              </w:rPr>
              <w:t>FIN_MKT</w:t>
            </w:r>
          </w:p>
        </w:tc>
        <w:tc>
          <w:tcPr>
            <w:tcW w:w="900"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90"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5"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6E7689">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6E7689">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-3.36e-05</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-0.000125</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-3.69e-05</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-0.00347</w:t>
            </w: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90"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5"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6E7689">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6E7689">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(0.0001)</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(0.000</w:t>
            </w:r>
            <w:r w:rsidR="003A641B">
              <w:rPr>
                <w:rFonts w:ascii="Times New Roman" w:hAnsi="Times New Roman" w:cs="Times New Roman"/>
                <w:sz w:val="16"/>
                <w:szCs w:val="24"/>
              </w:rPr>
              <w:t>4</w:t>
            </w:r>
            <w:r w:rsidRPr="00F62A80">
              <w:rPr>
                <w:rFonts w:ascii="Times New Roman" w:hAnsi="Times New Roman" w:cs="Times New Roman"/>
                <w:sz w:val="16"/>
                <w:szCs w:val="24"/>
              </w:rPr>
              <w:t>)</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(0.0001)</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(0.006</w:t>
            </w:r>
            <w:r w:rsidR="003A641B">
              <w:rPr>
                <w:rFonts w:ascii="Times New Roman" w:hAnsi="Times New Roman" w:cs="Times New Roman"/>
                <w:sz w:val="16"/>
                <w:szCs w:val="24"/>
              </w:rPr>
              <w:t>8</w:t>
            </w:r>
            <w:r w:rsidRPr="00F62A80">
              <w:rPr>
                <w:rFonts w:ascii="Times New Roman" w:hAnsi="Times New Roman" w:cs="Times New Roman"/>
                <w:sz w:val="16"/>
                <w:szCs w:val="24"/>
              </w:rPr>
              <w:t>)</w:t>
            </w:r>
          </w:p>
        </w:tc>
      </w:tr>
      <w:tr w:rsidR="00F62A80" w:rsidRPr="00F33A35" w:rsidTr="00F62A80">
        <w:trPr>
          <w:gridAfter w:val="1"/>
          <w:wAfter w:w="9" w:type="dxa"/>
          <w:tblHeader/>
          <w:jc w:val="center"/>
        </w:trPr>
        <w:tc>
          <w:tcPr>
            <w:tcW w:w="1624" w:type="dxa"/>
            <w:gridSpan w:val="2"/>
            <w:tcBorders>
              <w:top w:val="nil"/>
              <w:left w:val="nil"/>
              <w:bottom w:val="nil"/>
              <w:right w:val="nil"/>
            </w:tcBorders>
          </w:tcPr>
          <w:p w:rsidR="00F62A80" w:rsidRPr="00F33A35" w:rsidRDefault="00F62A80" w:rsidP="00F33A35">
            <w:pPr>
              <w:widowControl w:val="0"/>
              <w:autoSpaceDE w:val="0"/>
              <w:autoSpaceDN w:val="0"/>
              <w:adjustRightInd w:val="0"/>
              <w:spacing w:after="0" w:line="240" w:lineRule="auto"/>
              <w:rPr>
                <w:rFonts w:ascii="Times New Roman" w:hAnsi="Times New Roman" w:cs="Times New Roman"/>
                <w:sz w:val="16"/>
                <w:szCs w:val="16"/>
              </w:rPr>
            </w:pPr>
            <w:r w:rsidRPr="00F33A35">
              <w:rPr>
                <w:rFonts w:ascii="Times New Roman" w:hAnsi="Times New Roman" w:cs="Times New Roman"/>
                <w:sz w:val="16"/>
                <w:szCs w:val="16"/>
              </w:rPr>
              <w:t>FIN_MKT × Q4 Dummy</w:t>
            </w:r>
          </w:p>
        </w:tc>
        <w:tc>
          <w:tcPr>
            <w:tcW w:w="900"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90"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5"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6E7689">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6E7689">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vAlign w:val="center"/>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-0.000</w:t>
            </w:r>
            <w:r w:rsidR="003A641B">
              <w:rPr>
                <w:rFonts w:ascii="Times New Roman" w:hAnsi="Times New Roman" w:cs="Times New Roman"/>
                <w:sz w:val="16"/>
                <w:szCs w:val="24"/>
              </w:rPr>
              <w:t>4</w:t>
            </w:r>
            <w:r w:rsidRPr="00F62A80">
              <w:rPr>
                <w:rFonts w:ascii="Times New Roman" w:hAnsi="Times New Roman" w:cs="Times New Roman"/>
                <w:sz w:val="16"/>
                <w:szCs w:val="24"/>
              </w:rPr>
              <w:t>*</w:t>
            </w:r>
          </w:p>
        </w:tc>
        <w:tc>
          <w:tcPr>
            <w:tcW w:w="963" w:type="dxa"/>
            <w:tcBorders>
              <w:top w:val="nil"/>
              <w:left w:val="nil"/>
              <w:bottom w:val="nil"/>
              <w:right w:val="nil"/>
            </w:tcBorders>
            <w:vAlign w:val="center"/>
          </w:tcPr>
          <w:p w:rsidR="00F62A80" w:rsidRPr="00F62A80" w:rsidRDefault="00F62A80" w:rsidP="00F62A80">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-0.0015***</w:t>
            </w:r>
          </w:p>
        </w:tc>
        <w:tc>
          <w:tcPr>
            <w:tcW w:w="963" w:type="dxa"/>
            <w:tcBorders>
              <w:top w:val="nil"/>
              <w:left w:val="nil"/>
              <w:bottom w:val="nil"/>
              <w:right w:val="nil"/>
            </w:tcBorders>
            <w:vAlign w:val="center"/>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-0.0005**</w:t>
            </w:r>
          </w:p>
        </w:tc>
        <w:tc>
          <w:tcPr>
            <w:tcW w:w="963" w:type="dxa"/>
            <w:tcBorders>
              <w:top w:val="nil"/>
              <w:left w:val="nil"/>
              <w:bottom w:val="nil"/>
              <w:right w:val="nil"/>
            </w:tcBorders>
            <w:vAlign w:val="center"/>
          </w:tcPr>
          <w:p w:rsidR="00F62A80" w:rsidRPr="00F62A80" w:rsidRDefault="00F62A80" w:rsidP="00F62A80">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-0.0194***</w:t>
            </w: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90"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5" w:type="dxa"/>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6E7689">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33A35" w:rsidRDefault="00F62A80" w:rsidP="006E7689">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(0.0002)</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(0.000</w:t>
            </w:r>
            <w:r w:rsidR="003A641B">
              <w:rPr>
                <w:rFonts w:ascii="Times New Roman" w:hAnsi="Times New Roman" w:cs="Times New Roman"/>
                <w:sz w:val="16"/>
                <w:szCs w:val="24"/>
              </w:rPr>
              <w:t>4</w:t>
            </w:r>
            <w:r w:rsidRPr="00F62A80">
              <w:rPr>
                <w:rFonts w:ascii="Times New Roman" w:hAnsi="Times New Roman" w:cs="Times New Roman"/>
                <w:sz w:val="16"/>
                <w:szCs w:val="24"/>
              </w:rPr>
              <w:t>)</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(0.0002)</w:t>
            </w:r>
          </w:p>
        </w:tc>
        <w:tc>
          <w:tcPr>
            <w:tcW w:w="963" w:type="dxa"/>
            <w:tcBorders>
              <w:top w:val="nil"/>
              <w:left w:val="nil"/>
              <w:bottom w:val="nil"/>
              <w:right w:val="nil"/>
            </w:tcBorders>
          </w:tcPr>
          <w:p w:rsidR="00F62A80" w:rsidRPr="00F62A80" w:rsidRDefault="00F62A80" w:rsidP="003A641B">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(0.007</w:t>
            </w:r>
            <w:r w:rsidR="003A641B">
              <w:rPr>
                <w:rFonts w:ascii="Times New Roman" w:hAnsi="Times New Roman" w:cs="Times New Roman"/>
                <w:sz w:val="16"/>
                <w:szCs w:val="24"/>
              </w:rPr>
              <w:t>1</w:t>
            </w:r>
            <w:r w:rsidRPr="00F62A80">
              <w:rPr>
                <w:rFonts w:ascii="Times New Roman" w:hAnsi="Times New Roman" w:cs="Times New Roman"/>
                <w:sz w:val="16"/>
                <w:szCs w:val="24"/>
              </w:rPr>
              <w:t>)</w:t>
            </w:r>
          </w:p>
        </w:tc>
      </w:tr>
      <w:tr w:rsidR="006E7689" w:rsidRPr="00F33A35" w:rsidTr="006E7689">
        <w:trPr>
          <w:gridAfter w:val="1"/>
          <w:wAfter w:w="9" w:type="dxa"/>
          <w:tblHeader/>
          <w:jc w:val="center"/>
        </w:trPr>
        <w:tc>
          <w:tcPr>
            <w:tcW w:w="1624" w:type="dxa"/>
            <w:gridSpan w:val="2"/>
            <w:tcBorders>
              <w:top w:val="nil"/>
              <w:left w:val="nil"/>
              <w:bottom w:val="nil"/>
              <w:right w:val="nil"/>
            </w:tcBorders>
            <w:vAlign w:val="center"/>
          </w:tcPr>
          <w:p w:rsidR="006E7689" w:rsidRPr="00F33A35" w:rsidRDefault="006E7689" w:rsidP="007766C2">
            <w:pPr>
              <w:spacing w:after="0" w:line="240" w:lineRule="auto"/>
              <w:rPr>
                <w:rFonts w:ascii="Times New Roman" w:eastAsia="Times New Roman" w:hAnsi="Times New Roman" w:cs="Times New Roman"/>
                <w:sz w:val="16"/>
                <w:szCs w:val="16"/>
              </w:rPr>
            </w:pPr>
          </w:p>
        </w:tc>
        <w:tc>
          <w:tcPr>
            <w:tcW w:w="900"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90"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0"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05"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6E7689" w:rsidRPr="00F33A35" w:rsidRDefault="006E7689" w:rsidP="006E7689">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6E7689" w:rsidRPr="00F33A35" w:rsidRDefault="006E7689" w:rsidP="006E7689">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963"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p>
        </w:tc>
      </w:tr>
      <w:tr w:rsidR="006E7689" w:rsidRPr="00F33A35" w:rsidTr="006E7689">
        <w:trPr>
          <w:gridAfter w:val="1"/>
          <w:wAfter w:w="9" w:type="dxa"/>
          <w:tblHeader/>
          <w:jc w:val="center"/>
        </w:trPr>
        <w:tc>
          <w:tcPr>
            <w:tcW w:w="1624" w:type="dxa"/>
            <w:gridSpan w:val="2"/>
            <w:tcBorders>
              <w:top w:val="nil"/>
              <w:left w:val="nil"/>
              <w:bottom w:val="nil"/>
              <w:right w:val="nil"/>
            </w:tcBorders>
            <w:vAlign w:val="center"/>
          </w:tcPr>
          <w:p w:rsidR="006E7689" w:rsidRPr="00F33A35" w:rsidRDefault="006E7689" w:rsidP="007766C2">
            <w:pPr>
              <w:spacing w:after="0" w:line="240" w:lineRule="auto"/>
              <w:rPr>
                <w:rFonts w:ascii="Times New Roman" w:eastAsia="Times New Roman" w:hAnsi="Times New Roman" w:cs="Times New Roman"/>
                <w:sz w:val="16"/>
                <w:szCs w:val="16"/>
              </w:rPr>
            </w:pPr>
            <w:r w:rsidRPr="00F33A35">
              <w:rPr>
                <w:rFonts w:ascii="Times New Roman" w:eastAsia="Times New Roman" w:hAnsi="Times New Roman" w:cs="Times New Roman"/>
                <w:sz w:val="16"/>
                <w:szCs w:val="16"/>
              </w:rPr>
              <w:t>Firm FE</w:t>
            </w:r>
          </w:p>
        </w:tc>
        <w:tc>
          <w:tcPr>
            <w:tcW w:w="900"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No</w:t>
            </w:r>
          </w:p>
        </w:tc>
        <w:tc>
          <w:tcPr>
            <w:tcW w:w="990"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No</w:t>
            </w:r>
          </w:p>
        </w:tc>
        <w:tc>
          <w:tcPr>
            <w:tcW w:w="900"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No</w:t>
            </w:r>
          </w:p>
        </w:tc>
        <w:tc>
          <w:tcPr>
            <w:tcW w:w="900"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No</w:t>
            </w:r>
          </w:p>
        </w:tc>
        <w:tc>
          <w:tcPr>
            <w:tcW w:w="905"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No</w:t>
            </w:r>
          </w:p>
        </w:tc>
        <w:tc>
          <w:tcPr>
            <w:tcW w:w="963" w:type="dxa"/>
            <w:tcBorders>
              <w:top w:val="nil"/>
              <w:left w:val="nil"/>
              <w:bottom w:val="nil"/>
              <w:right w:val="nil"/>
            </w:tcBorders>
          </w:tcPr>
          <w:p w:rsidR="006E7689" w:rsidRPr="00F33A35" w:rsidRDefault="006E7689" w:rsidP="006E7689">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No</w:t>
            </w:r>
          </w:p>
        </w:tc>
        <w:tc>
          <w:tcPr>
            <w:tcW w:w="963" w:type="dxa"/>
            <w:tcBorders>
              <w:top w:val="nil"/>
              <w:left w:val="nil"/>
              <w:bottom w:val="nil"/>
              <w:right w:val="nil"/>
            </w:tcBorders>
          </w:tcPr>
          <w:p w:rsidR="006E7689" w:rsidRPr="00F33A35" w:rsidRDefault="006E7689" w:rsidP="006E7689">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No</w:t>
            </w:r>
          </w:p>
        </w:tc>
        <w:tc>
          <w:tcPr>
            <w:tcW w:w="963"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No</w:t>
            </w:r>
          </w:p>
        </w:tc>
        <w:tc>
          <w:tcPr>
            <w:tcW w:w="963"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No</w:t>
            </w:r>
          </w:p>
        </w:tc>
        <w:tc>
          <w:tcPr>
            <w:tcW w:w="963"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No</w:t>
            </w:r>
          </w:p>
        </w:tc>
        <w:tc>
          <w:tcPr>
            <w:tcW w:w="963"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No</w:t>
            </w:r>
          </w:p>
        </w:tc>
      </w:tr>
      <w:tr w:rsidR="006E7689" w:rsidRPr="00F33A35" w:rsidTr="006E7689">
        <w:trPr>
          <w:gridAfter w:val="1"/>
          <w:wAfter w:w="9" w:type="dxa"/>
          <w:tblHeader/>
          <w:jc w:val="center"/>
        </w:trPr>
        <w:tc>
          <w:tcPr>
            <w:tcW w:w="1624" w:type="dxa"/>
            <w:gridSpan w:val="2"/>
            <w:tcBorders>
              <w:top w:val="nil"/>
              <w:left w:val="nil"/>
              <w:bottom w:val="nil"/>
              <w:right w:val="nil"/>
            </w:tcBorders>
            <w:vAlign w:val="center"/>
          </w:tcPr>
          <w:p w:rsidR="006E7689" w:rsidRPr="00F33A35" w:rsidRDefault="006E7689" w:rsidP="007766C2">
            <w:pPr>
              <w:spacing w:after="0" w:line="240" w:lineRule="auto"/>
              <w:rPr>
                <w:rFonts w:ascii="Times New Roman" w:eastAsia="Times New Roman" w:hAnsi="Times New Roman" w:cs="Times New Roman"/>
                <w:sz w:val="16"/>
                <w:szCs w:val="16"/>
              </w:rPr>
            </w:pPr>
            <w:r w:rsidRPr="00F33A35">
              <w:rPr>
                <w:rFonts w:ascii="Times New Roman" w:eastAsia="Times New Roman" w:hAnsi="Times New Roman" w:cs="Times New Roman"/>
                <w:sz w:val="16"/>
                <w:szCs w:val="16"/>
              </w:rPr>
              <w:t>Industry-Time FE</w:t>
            </w:r>
          </w:p>
        </w:tc>
        <w:tc>
          <w:tcPr>
            <w:tcW w:w="900"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Yes</w:t>
            </w:r>
          </w:p>
        </w:tc>
        <w:tc>
          <w:tcPr>
            <w:tcW w:w="990"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Yes</w:t>
            </w:r>
          </w:p>
        </w:tc>
        <w:tc>
          <w:tcPr>
            <w:tcW w:w="900"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Yes</w:t>
            </w:r>
          </w:p>
        </w:tc>
        <w:tc>
          <w:tcPr>
            <w:tcW w:w="900"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Yes</w:t>
            </w:r>
          </w:p>
        </w:tc>
        <w:tc>
          <w:tcPr>
            <w:tcW w:w="905"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Yes</w:t>
            </w:r>
          </w:p>
        </w:tc>
        <w:tc>
          <w:tcPr>
            <w:tcW w:w="963" w:type="dxa"/>
            <w:tcBorders>
              <w:top w:val="nil"/>
              <w:left w:val="nil"/>
              <w:bottom w:val="nil"/>
              <w:right w:val="nil"/>
            </w:tcBorders>
          </w:tcPr>
          <w:p w:rsidR="006E7689" w:rsidRPr="00F33A35" w:rsidRDefault="006E7689" w:rsidP="006E7689">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Yes</w:t>
            </w:r>
          </w:p>
        </w:tc>
        <w:tc>
          <w:tcPr>
            <w:tcW w:w="963" w:type="dxa"/>
            <w:tcBorders>
              <w:top w:val="nil"/>
              <w:left w:val="nil"/>
              <w:bottom w:val="nil"/>
              <w:right w:val="nil"/>
            </w:tcBorders>
          </w:tcPr>
          <w:p w:rsidR="006E7689" w:rsidRPr="00F33A35" w:rsidRDefault="006E7689" w:rsidP="006E7689">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Yes</w:t>
            </w:r>
          </w:p>
        </w:tc>
        <w:tc>
          <w:tcPr>
            <w:tcW w:w="963"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Yes</w:t>
            </w:r>
          </w:p>
        </w:tc>
        <w:tc>
          <w:tcPr>
            <w:tcW w:w="963"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Yes</w:t>
            </w:r>
          </w:p>
        </w:tc>
        <w:tc>
          <w:tcPr>
            <w:tcW w:w="963"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Yes</w:t>
            </w:r>
          </w:p>
        </w:tc>
        <w:tc>
          <w:tcPr>
            <w:tcW w:w="963" w:type="dxa"/>
            <w:tcBorders>
              <w:top w:val="nil"/>
              <w:left w:val="nil"/>
              <w:bottom w:val="nil"/>
              <w:right w:val="nil"/>
            </w:tcBorders>
          </w:tcPr>
          <w:p w:rsidR="006E7689" w:rsidRPr="00F33A35" w:rsidRDefault="006E7689" w:rsidP="007766C2">
            <w:pPr>
              <w:widowControl w:val="0"/>
              <w:autoSpaceDE w:val="0"/>
              <w:autoSpaceDN w:val="0"/>
              <w:adjustRightInd w:val="0"/>
              <w:spacing w:after="0" w:line="240" w:lineRule="auto"/>
              <w:jc w:val="center"/>
              <w:rPr>
                <w:rFonts w:ascii="Times New Roman" w:hAnsi="Times New Roman" w:cs="Times New Roman"/>
                <w:sz w:val="16"/>
                <w:szCs w:val="16"/>
              </w:rPr>
            </w:pPr>
            <w:r w:rsidRPr="00F33A35">
              <w:rPr>
                <w:rFonts w:ascii="Times New Roman" w:hAnsi="Times New Roman" w:cs="Times New Roman"/>
                <w:sz w:val="16"/>
                <w:szCs w:val="16"/>
              </w:rPr>
              <w:t>Yes</w:t>
            </w:r>
          </w:p>
        </w:tc>
      </w:tr>
      <w:tr w:rsidR="00F62A80" w:rsidRPr="00F33A35" w:rsidTr="006E7689">
        <w:trPr>
          <w:gridAfter w:val="1"/>
          <w:wAfter w:w="9" w:type="dxa"/>
          <w:tblHeader/>
          <w:jc w:val="center"/>
        </w:trPr>
        <w:tc>
          <w:tcPr>
            <w:tcW w:w="1624" w:type="dxa"/>
            <w:gridSpan w:val="2"/>
            <w:tcBorders>
              <w:top w:val="nil"/>
              <w:left w:val="nil"/>
              <w:bottom w:val="nil"/>
              <w:right w:val="nil"/>
            </w:tcBorders>
          </w:tcPr>
          <w:p w:rsidR="00F62A80" w:rsidRPr="00F33A35" w:rsidRDefault="00F62A80" w:rsidP="007766C2">
            <w:pPr>
              <w:widowControl w:val="0"/>
              <w:autoSpaceDE w:val="0"/>
              <w:autoSpaceDN w:val="0"/>
              <w:adjustRightInd w:val="0"/>
              <w:spacing w:after="0" w:line="240" w:lineRule="auto"/>
              <w:rPr>
                <w:rFonts w:ascii="Times New Roman" w:hAnsi="Times New Roman" w:cs="Times New Roman"/>
                <w:sz w:val="16"/>
                <w:szCs w:val="16"/>
              </w:rPr>
            </w:pPr>
            <w:r w:rsidRPr="00F33A35">
              <w:rPr>
                <w:rFonts w:ascii="Times New Roman" w:hAnsi="Times New Roman" w:cs="Times New Roman"/>
                <w:sz w:val="16"/>
                <w:szCs w:val="16"/>
              </w:rPr>
              <w:t>Observations</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206,595</w:t>
            </w:r>
          </w:p>
        </w:tc>
        <w:tc>
          <w:tcPr>
            <w:tcW w:w="99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211,387</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200,425</w:t>
            </w:r>
          </w:p>
        </w:tc>
        <w:tc>
          <w:tcPr>
            <w:tcW w:w="900"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199,150</w:t>
            </w:r>
          </w:p>
        </w:tc>
        <w:tc>
          <w:tcPr>
            <w:tcW w:w="905"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192,324</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214,339</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214,339</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194,791</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200,886</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181,531</w:t>
            </w:r>
          </w:p>
        </w:tc>
        <w:tc>
          <w:tcPr>
            <w:tcW w:w="963" w:type="dxa"/>
            <w:tcBorders>
              <w:top w:val="nil"/>
              <w:left w:val="nil"/>
              <w:bottom w:val="nil"/>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206,595</w:t>
            </w:r>
          </w:p>
        </w:tc>
      </w:tr>
      <w:tr w:rsidR="00F62A80" w:rsidRPr="00F33A35" w:rsidTr="00F33A35">
        <w:tblPrEx>
          <w:tblBorders>
            <w:bottom w:val="single" w:sz="6" w:space="0" w:color="auto"/>
          </w:tblBorders>
        </w:tblPrEx>
        <w:trPr>
          <w:gridAfter w:val="1"/>
          <w:wAfter w:w="9" w:type="dxa"/>
          <w:tblHeader/>
          <w:jc w:val="center"/>
        </w:trPr>
        <w:tc>
          <w:tcPr>
            <w:tcW w:w="1624" w:type="dxa"/>
            <w:gridSpan w:val="2"/>
            <w:tcBorders>
              <w:top w:val="nil"/>
              <w:left w:val="nil"/>
              <w:bottom w:val="double" w:sz="4" w:space="0" w:color="auto"/>
              <w:right w:val="nil"/>
            </w:tcBorders>
          </w:tcPr>
          <w:p w:rsidR="00F62A80" w:rsidRPr="00F33A35" w:rsidRDefault="00F62A80" w:rsidP="007766C2">
            <w:pPr>
              <w:widowControl w:val="0"/>
              <w:autoSpaceDE w:val="0"/>
              <w:autoSpaceDN w:val="0"/>
              <w:adjustRightInd w:val="0"/>
              <w:spacing w:after="0" w:line="240" w:lineRule="auto"/>
              <w:rPr>
                <w:rFonts w:ascii="Times New Roman" w:hAnsi="Times New Roman" w:cs="Times New Roman"/>
                <w:sz w:val="16"/>
                <w:szCs w:val="16"/>
              </w:rPr>
            </w:pPr>
            <w:r w:rsidRPr="00F33A35">
              <w:rPr>
                <w:rFonts w:ascii="Times New Roman" w:hAnsi="Times New Roman" w:cs="Times New Roman"/>
                <w:sz w:val="16"/>
                <w:szCs w:val="16"/>
              </w:rPr>
              <w:t>R-squared</w:t>
            </w:r>
          </w:p>
        </w:tc>
        <w:tc>
          <w:tcPr>
            <w:tcW w:w="900" w:type="dxa"/>
            <w:tcBorders>
              <w:top w:val="nil"/>
              <w:left w:val="nil"/>
              <w:bottom w:val="double" w:sz="4" w:space="0" w:color="auto"/>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0.217</w:t>
            </w:r>
          </w:p>
        </w:tc>
        <w:tc>
          <w:tcPr>
            <w:tcW w:w="990" w:type="dxa"/>
            <w:tcBorders>
              <w:top w:val="nil"/>
              <w:left w:val="nil"/>
              <w:bottom w:val="double" w:sz="4" w:space="0" w:color="auto"/>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0.215</w:t>
            </w:r>
          </w:p>
        </w:tc>
        <w:tc>
          <w:tcPr>
            <w:tcW w:w="900" w:type="dxa"/>
            <w:tcBorders>
              <w:top w:val="nil"/>
              <w:left w:val="nil"/>
              <w:bottom w:val="double" w:sz="4" w:space="0" w:color="auto"/>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0.211</w:t>
            </w:r>
          </w:p>
        </w:tc>
        <w:tc>
          <w:tcPr>
            <w:tcW w:w="900" w:type="dxa"/>
            <w:tcBorders>
              <w:top w:val="nil"/>
              <w:left w:val="nil"/>
              <w:bottom w:val="double" w:sz="4" w:space="0" w:color="auto"/>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0.223</w:t>
            </w:r>
          </w:p>
        </w:tc>
        <w:tc>
          <w:tcPr>
            <w:tcW w:w="905" w:type="dxa"/>
            <w:tcBorders>
              <w:top w:val="nil"/>
              <w:left w:val="nil"/>
              <w:bottom w:val="double" w:sz="4" w:space="0" w:color="auto"/>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0.223</w:t>
            </w:r>
          </w:p>
        </w:tc>
        <w:tc>
          <w:tcPr>
            <w:tcW w:w="963" w:type="dxa"/>
            <w:tcBorders>
              <w:top w:val="nil"/>
              <w:left w:val="nil"/>
              <w:bottom w:val="double" w:sz="4" w:space="0" w:color="auto"/>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0.212</w:t>
            </w:r>
          </w:p>
        </w:tc>
        <w:tc>
          <w:tcPr>
            <w:tcW w:w="963" w:type="dxa"/>
            <w:tcBorders>
              <w:top w:val="nil"/>
              <w:left w:val="nil"/>
              <w:bottom w:val="double" w:sz="4" w:space="0" w:color="auto"/>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0.212</w:t>
            </w:r>
          </w:p>
        </w:tc>
        <w:tc>
          <w:tcPr>
            <w:tcW w:w="963" w:type="dxa"/>
            <w:tcBorders>
              <w:top w:val="nil"/>
              <w:left w:val="nil"/>
              <w:bottom w:val="double" w:sz="4" w:space="0" w:color="auto"/>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0.213</w:t>
            </w:r>
          </w:p>
        </w:tc>
        <w:tc>
          <w:tcPr>
            <w:tcW w:w="963" w:type="dxa"/>
            <w:tcBorders>
              <w:top w:val="nil"/>
              <w:left w:val="nil"/>
              <w:bottom w:val="double" w:sz="4" w:space="0" w:color="auto"/>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0.207</w:t>
            </w:r>
          </w:p>
        </w:tc>
        <w:tc>
          <w:tcPr>
            <w:tcW w:w="963" w:type="dxa"/>
            <w:tcBorders>
              <w:top w:val="nil"/>
              <w:left w:val="nil"/>
              <w:bottom w:val="double" w:sz="4" w:space="0" w:color="auto"/>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0.207</w:t>
            </w:r>
          </w:p>
        </w:tc>
        <w:tc>
          <w:tcPr>
            <w:tcW w:w="963" w:type="dxa"/>
            <w:tcBorders>
              <w:top w:val="nil"/>
              <w:left w:val="nil"/>
              <w:bottom w:val="double" w:sz="4" w:space="0" w:color="auto"/>
              <w:right w:val="nil"/>
            </w:tcBorders>
          </w:tcPr>
          <w:p w:rsidR="00F62A80" w:rsidRPr="00F62A80" w:rsidRDefault="00F62A80" w:rsidP="0085714E">
            <w:pPr>
              <w:widowControl w:val="0"/>
              <w:autoSpaceDE w:val="0"/>
              <w:autoSpaceDN w:val="0"/>
              <w:adjustRightInd w:val="0"/>
              <w:spacing w:after="0" w:line="240" w:lineRule="auto"/>
              <w:jc w:val="center"/>
              <w:rPr>
                <w:rFonts w:ascii="Times New Roman" w:hAnsi="Times New Roman" w:cs="Times New Roman"/>
                <w:sz w:val="16"/>
                <w:szCs w:val="24"/>
              </w:rPr>
            </w:pPr>
            <w:r w:rsidRPr="00F62A80">
              <w:rPr>
                <w:rFonts w:ascii="Times New Roman" w:hAnsi="Times New Roman" w:cs="Times New Roman"/>
                <w:sz w:val="16"/>
                <w:szCs w:val="24"/>
              </w:rPr>
              <w:t>0.217</w:t>
            </w:r>
          </w:p>
        </w:tc>
      </w:tr>
    </w:tbl>
    <w:p w:rsidR="00821BD4" w:rsidRPr="00EE1141" w:rsidRDefault="00821BD4" w:rsidP="00821BD4">
      <w:pPr>
        <w:rPr>
          <w:rFonts w:ascii="Times New Roman" w:hAnsi="Times New Roman" w:cs="Times New Roman"/>
        </w:rPr>
      </w:pPr>
    </w:p>
    <w:p w:rsidR="00821BD4" w:rsidRPr="00EE1141" w:rsidRDefault="00821BD4" w:rsidP="00821BD4">
      <w:pPr>
        <w:rPr>
          <w:rFonts w:ascii="Times New Roman" w:hAnsi="Times New Roman" w:cs="Times New Roman"/>
        </w:rPr>
      </w:pPr>
    </w:p>
    <w:p w:rsidR="00821BD4" w:rsidRPr="00EE1141" w:rsidRDefault="00821BD4" w:rsidP="00821BD4">
      <w:pPr>
        <w:rPr>
          <w:rFonts w:ascii="Times New Roman" w:hAnsi="Times New Roman" w:cs="Times New Roman"/>
        </w:rPr>
        <w:sectPr w:rsidR="00821BD4" w:rsidRPr="00EE1141" w:rsidSect="003465DB">
          <w:footnotePr>
            <w:numFmt w:val="chicago"/>
          </w:footnotePr>
          <w:pgSz w:w="15840" w:h="12240" w:orient="landscape"/>
          <w:pgMar w:top="1440" w:right="1440" w:bottom="1440" w:left="1267" w:header="720" w:footer="720" w:gutter="0"/>
          <w:cols w:space="720"/>
          <w:docGrid w:linePitch="360"/>
        </w:sectPr>
      </w:pPr>
    </w:p>
    <w:p w:rsidR="00821BD4" w:rsidRPr="00EE1141" w:rsidRDefault="00821BD4" w:rsidP="00821BD4">
      <w:pPr>
        <w:spacing w:after="120" w:line="240" w:lineRule="auto"/>
        <w:rPr>
          <w:rFonts w:ascii="Times New Roman" w:hAnsi="Times New Roman" w:cs="Times New Roman"/>
          <w:b/>
          <w:sz w:val="14"/>
        </w:rPr>
      </w:pPr>
      <w:r w:rsidRPr="00EE1141">
        <w:rPr>
          <w:rFonts w:ascii="Times New Roman" w:hAnsi="Times New Roman" w:cs="Times New Roman"/>
          <w:b/>
          <w:sz w:val="20"/>
          <w:szCs w:val="16"/>
        </w:rPr>
        <w:lastRenderedPageBreak/>
        <w:t xml:space="preserve">Table 5 </w:t>
      </w:r>
      <w:r w:rsidR="002D0C41">
        <w:rPr>
          <w:rFonts w:ascii="Times New Roman" w:hAnsi="Times New Roman" w:cs="Times New Roman"/>
          <w:b/>
          <w:sz w:val="20"/>
          <w:szCs w:val="16"/>
        </w:rPr>
        <w:t xml:space="preserve">– </w:t>
      </w:r>
      <w:r w:rsidRPr="00EE1141">
        <w:rPr>
          <w:rFonts w:ascii="Times New Roman" w:hAnsi="Times New Roman" w:cs="Times New Roman"/>
          <w:b/>
          <w:sz w:val="20"/>
          <w:szCs w:val="16"/>
        </w:rPr>
        <w:t xml:space="preserve">Country-level </w:t>
      </w:r>
      <w:r w:rsidR="0035194C">
        <w:rPr>
          <w:rFonts w:ascii="Times New Roman" w:hAnsi="Times New Roman" w:cs="Times New Roman"/>
          <w:b/>
          <w:sz w:val="20"/>
          <w:szCs w:val="16"/>
        </w:rPr>
        <w:t xml:space="preserve">Analyses Controlling for More </w:t>
      </w:r>
      <w:r w:rsidR="0035194C" w:rsidRPr="00EE1141">
        <w:rPr>
          <w:rFonts w:ascii="Times New Roman" w:hAnsi="Times New Roman" w:cs="Times New Roman"/>
          <w:b/>
          <w:sz w:val="20"/>
          <w:szCs w:val="16"/>
        </w:rPr>
        <w:t>Firm-</w:t>
      </w:r>
      <w:r w:rsidR="0035194C">
        <w:rPr>
          <w:rFonts w:ascii="Times New Roman" w:hAnsi="Times New Roman" w:cs="Times New Roman"/>
          <w:b/>
          <w:sz w:val="20"/>
          <w:szCs w:val="16"/>
        </w:rPr>
        <w:t>level Variables</w:t>
      </w:r>
    </w:p>
    <w:p w:rsidR="00821BD4" w:rsidRPr="00EE1141" w:rsidRDefault="00821BD4" w:rsidP="00191266">
      <w:pPr>
        <w:spacing w:after="0" w:line="240" w:lineRule="auto"/>
        <w:ind w:firstLine="288"/>
        <w:jc w:val="both"/>
        <w:rPr>
          <w:rFonts w:ascii="Times New Roman" w:hAnsi="Times New Roman" w:cs="Times New Roman"/>
          <w:sz w:val="16"/>
        </w:rPr>
      </w:pPr>
      <w:r w:rsidRPr="00EE1141">
        <w:rPr>
          <w:rFonts w:ascii="Times New Roman" w:hAnsi="Times New Roman" w:cs="Times New Roman"/>
          <w:sz w:val="16"/>
          <w:szCs w:val="16"/>
        </w:rPr>
        <w:t xml:space="preserve">This table reports the results of regressions of capital expenditure on </w:t>
      </w:r>
      <w:r w:rsidR="0035194C" w:rsidRPr="00EE1141">
        <w:rPr>
          <w:rFonts w:ascii="Times New Roman" w:hAnsi="Times New Roman" w:cs="Times New Roman"/>
          <w:sz w:val="16"/>
          <w:szCs w:val="16"/>
        </w:rPr>
        <w:t>the interaction of country-level variables and 4</w:t>
      </w:r>
      <w:r w:rsidR="0035194C" w:rsidRPr="00EE1141">
        <w:rPr>
          <w:rFonts w:ascii="Times New Roman" w:hAnsi="Times New Roman" w:cs="Times New Roman"/>
          <w:sz w:val="16"/>
          <w:szCs w:val="16"/>
          <w:vertAlign w:val="superscript"/>
        </w:rPr>
        <w:t>th</w:t>
      </w:r>
      <w:r w:rsidR="0035194C" w:rsidRPr="00EE1141">
        <w:rPr>
          <w:rFonts w:ascii="Times New Roman" w:hAnsi="Times New Roman" w:cs="Times New Roman"/>
          <w:sz w:val="16"/>
          <w:szCs w:val="16"/>
        </w:rPr>
        <w:t xml:space="preserve"> fiscal quarter dummy</w:t>
      </w:r>
      <w:r w:rsidR="0035194C">
        <w:rPr>
          <w:rFonts w:ascii="Times New Roman" w:hAnsi="Times New Roman" w:cs="Times New Roman"/>
          <w:sz w:val="16"/>
          <w:szCs w:val="16"/>
        </w:rPr>
        <w:t>,</w:t>
      </w:r>
      <w:r w:rsidR="0035194C" w:rsidRPr="00EE1141">
        <w:rPr>
          <w:rFonts w:ascii="Times New Roman" w:hAnsi="Times New Roman" w:cs="Times New Roman"/>
          <w:sz w:val="16"/>
          <w:szCs w:val="16"/>
        </w:rPr>
        <w:t xml:space="preserve"> </w:t>
      </w:r>
      <w:r w:rsidR="0035194C">
        <w:rPr>
          <w:rFonts w:ascii="Times New Roman" w:hAnsi="Times New Roman" w:cs="Times New Roman"/>
          <w:sz w:val="16"/>
          <w:szCs w:val="16"/>
        </w:rPr>
        <w:t xml:space="preserve">controlling for a comprehensive set of </w:t>
      </w:r>
      <w:r w:rsidR="0035194C" w:rsidRPr="00EE1141">
        <w:rPr>
          <w:rFonts w:ascii="Times New Roman" w:hAnsi="Times New Roman" w:cs="Times New Roman"/>
          <w:sz w:val="16"/>
          <w:szCs w:val="16"/>
        </w:rPr>
        <w:t>firm-level variable</w:t>
      </w:r>
      <w:r w:rsidR="0035194C">
        <w:rPr>
          <w:rFonts w:ascii="Times New Roman" w:hAnsi="Times New Roman" w:cs="Times New Roman"/>
          <w:sz w:val="16"/>
          <w:szCs w:val="16"/>
        </w:rPr>
        <w:t>s</w:t>
      </w:r>
      <w:r w:rsidR="00535E57">
        <w:rPr>
          <w:rFonts w:ascii="Times New Roman" w:hAnsi="Times New Roman" w:cs="Times New Roman"/>
          <w:sz w:val="16"/>
          <w:szCs w:val="16"/>
        </w:rPr>
        <w:t xml:space="preserve"> and</w:t>
      </w:r>
      <w:r w:rsidR="0035194C" w:rsidRPr="00EE1141">
        <w:rPr>
          <w:rFonts w:ascii="Times New Roman" w:hAnsi="Times New Roman" w:cs="Times New Roman"/>
          <w:sz w:val="16"/>
          <w:szCs w:val="16"/>
        </w:rPr>
        <w:t xml:space="preserve"> </w:t>
      </w:r>
      <w:r w:rsidRPr="00EE1141">
        <w:rPr>
          <w:rFonts w:ascii="Times New Roman" w:hAnsi="Times New Roman" w:cs="Times New Roman"/>
          <w:sz w:val="16"/>
          <w:szCs w:val="16"/>
        </w:rPr>
        <w:t>the</w:t>
      </w:r>
      <w:r w:rsidR="0035194C">
        <w:rPr>
          <w:rFonts w:ascii="Times New Roman" w:hAnsi="Times New Roman" w:cs="Times New Roman"/>
          <w:sz w:val="16"/>
          <w:szCs w:val="16"/>
        </w:rPr>
        <w:t>ir</w:t>
      </w:r>
      <w:r w:rsidRPr="00EE1141">
        <w:rPr>
          <w:rFonts w:ascii="Times New Roman" w:hAnsi="Times New Roman" w:cs="Times New Roman"/>
          <w:sz w:val="16"/>
          <w:szCs w:val="16"/>
        </w:rPr>
        <w:t xml:space="preserve"> interaction </w:t>
      </w:r>
      <w:r w:rsidR="0035194C">
        <w:rPr>
          <w:rFonts w:ascii="Times New Roman" w:hAnsi="Times New Roman" w:cs="Times New Roman"/>
          <w:sz w:val="16"/>
          <w:szCs w:val="16"/>
        </w:rPr>
        <w:t>with the</w:t>
      </w:r>
      <w:r w:rsidRPr="00EE1141">
        <w:rPr>
          <w:rFonts w:ascii="Times New Roman" w:hAnsi="Times New Roman" w:cs="Times New Roman"/>
          <w:sz w:val="16"/>
          <w:szCs w:val="16"/>
        </w:rPr>
        <w:t xml:space="preserve"> 4</w:t>
      </w:r>
      <w:r w:rsidRPr="00EE1141">
        <w:rPr>
          <w:rFonts w:ascii="Times New Roman" w:hAnsi="Times New Roman" w:cs="Times New Roman"/>
          <w:sz w:val="16"/>
          <w:szCs w:val="16"/>
          <w:vertAlign w:val="superscript"/>
        </w:rPr>
        <w:t>th</w:t>
      </w:r>
      <w:r w:rsidRPr="00EE1141">
        <w:rPr>
          <w:rFonts w:ascii="Times New Roman" w:hAnsi="Times New Roman" w:cs="Times New Roman"/>
          <w:sz w:val="16"/>
          <w:szCs w:val="16"/>
        </w:rPr>
        <w:t xml:space="preserve"> fiscal quarter dummy</w:t>
      </w:r>
      <w:r w:rsidR="0035194C">
        <w:rPr>
          <w:rFonts w:ascii="Times New Roman" w:hAnsi="Times New Roman" w:cs="Times New Roman"/>
          <w:sz w:val="16"/>
          <w:szCs w:val="16"/>
        </w:rPr>
        <w:t xml:space="preserve">. </w:t>
      </w:r>
      <w:r w:rsidR="003F0CA6" w:rsidRPr="00EE1141">
        <w:rPr>
          <w:rFonts w:ascii="Times New Roman" w:hAnsi="Times New Roman" w:cs="Times New Roman"/>
          <w:sz w:val="16"/>
          <w:szCs w:val="16"/>
        </w:rPr>
        <w:t>We define capital expenditure as quarterly capital expenditures over total assets</w:t>
      </w:r>
      <w:r w:rsidR="003F0CA6" w:rsidRPr="00EE1141">
        <w:rPr>
          <w:rFonts w:ascii="Times New Roman" w:hAnsi="Times New Roman" w:cs="Times New Roman"/>
          <w:sz w:val="16"/>
        </w:rPr>
        <w:t>.</w:t>
      </w:r>
      <w:r w:rsidR="003F0CA6">
        <w:rPr>
          <w:rFonts w:ascii="Times New Roman" w:hAnsi="Times New Roman" w:cs="Times New Roman"/>
          <w:sz w:val="16"/>
        </w:rPr>
        <w:t xml:space="preserve"> </w:t>
      </w:r>
      <w:r w:rsidR="0035194C">
        <w:rPr>
          <w:rFonts w:ascii="Times New Roman" w:hAnsi="Times New Roman" w:cs="Times New Roman"/>
          <w:sz w:val="16"/>
          <w:szCs w:val="16"/>
        </w:rPr>
        <w:t xml:space="preserve">We control </w:t>
      </w:r>
      <w:r w:rsidRPr="00EE1141">
        <w:rPr>
          <w:rFonts w:ascii="Times New Roman" w:hAnsi="Times New Roman" w:cs="Times New Roman"/>
          <w:sz w:val="16"/>
          <w:szCs w:val="16"/>
        </w:rPr>
        <w:t>for firm</w:t>
      </w:r>
      <w:r w:rsidR="003F0CA6">
        <w:rPr>
          <w:rFonts w:ascii="Times New Roman" w:hAnsi="Times New Roman" w:cs="Times New Roman"/>
          <w:sz w:val="16"/>
          <w:szCs w:val="16"/>
        </w:rPr>
        <w:t xml:space="preserve"> characteristics such as quarterly cash flow, Tobin’s q, </w:t>
      </w:r>
      <w:r w:rsidR="00050F48">
        <w:rPr>
          <w:rFonts w:ascii="Times New Roman" w:hAnsi="Times New Roman" w:cs="Times New Roman"/>
          <w:sz w:val="16"/>
          <w:szCs w:val="16"/>
        </w:rPr>
        <w:t>C</w:t>
      </w:r>
      <w:r w:rsidR="003F0CA6">
        <w:rPr>
          <w:rFonts w:ascii="Times New Roman" w:hAnsi="Times New Roman" w:cs="Times New Roman"/>
          <w:sz w:val="16"/>
          <w:szCs w:val="16"/>
        </w:rPr>
        <w:t xml:space="preserve">hange in </w:t>
      </w:r>
      <w:r w:rsidR="00050F48">
        <w:rPr>
          <w:rFonts w:ascii="Times New Roman" w:hAnsi="Times New Roman" w:cs="Times New Roman"/>
          <w:sz w:val="16"/>
          <w:szCs w:val="16"/>
        </w:rPr>
        <w:t>C</w:t>
      </w:r>
      <w:r w:rsidR="003F0CA6">
        <w:rPr>
          <w:rFonts w:ascii="Times New Roman" w:hAnsi="Times New Roman" w:cs="Times New Roman"/>
          <w:sz w:val="16"/>
          <w:szCs w:val="16"/>
        </w:rPr>
        <w:t xml:space="preserve">ash </w:t>
      </w:r>
      <w:r w:rsidR="00050F48">
        <w:rPr>
          <w:rFonts w:ascii="Times New Roman" w:hAnsi="Times New Roman" w:cs="Times New Roman"/>
          <w:sz w:val="16"/>
          <w:szCs w:val="16"/>
        </w:rPr>
        <w:t>H</w:t>
      </w:r>
      <w:r w:rsidR="003F0CA6">
        <w:rPr>
          <w:rFonts w:ascii="Times New Roman" w:hAnsi="Times New Roman" w:cs="Times New Roman"/>
          <w:sz w:val="16"/>
          <w:szCs w:val="16"/>
        </w:rPr>
        <w:t>olding</w:t>
      </w:r>
      <w:r w:rsidR="00050F48">
        <w:rPr>
          <w:rFonts w:ascii="Times New Roman" w:hAnsi="Times New Roman" w:cs="Times New Roman"/>
          <w:sz w:val="16"/>
          <w:szCs w:val="16"/>
        </w:rPr>
        <w:t>s</w:t>
      </w:r>
      <w:r w:rsidR="003F0CA6">
        <w:rPr>
          <w:rFonts w:ascii="Times New Roman" w:hAnsi="Times New Roman" w:cs="Times New Roman"/>
          <w:sz w:val="16"/>
          <w:szCs w:val="16"/>
        </w:rPr>
        <w:t xml:space="preserve"> from the previous quarter, </w:t>
      </w:r>
      <w:r w:rsidR="00050F48">
        <w:rPr>
          <w:rFonts w:ascii="Times New Roman" w:hAnsi="Times New Roman" w:cs="Times New Roman"/>
          <w:sz w:val="16"/>
          <w:szCs w:val="16"/>
        </w:rPr>
        <w:t>Leverage, and S</w:t>
      </w:r>
      <w:r w:rsidR="003F0CA6">
        <w:rPr>
          <w:rFonts w:ascii="Times New Roman" w:hAnsi="Times New Roman" w:cs="Times New Roman"/>
          <w:sz w:val="16"/>
          <w:szCs w:val="16"/>
        </w:rPr>
        <w:t xml:space="preserve">ales </w:t>
      </w:r>
      <w:r w:rsidR="00050F48">
        <w:rPr>
          <w:rFonts w:ascii="Times New Roman" w:hAnsi="Times New Roman" w:cs="Times New Roman"/>
          <w:sz w:val="16"/>
          <w:szCs w:val="16"/>
        </w:rPr>
        <w:t>G</w:t>
      </w:r>
      <w:r w:rsidR="003F0CA6">
        <w:rPr>
          <w:rFonts w:ascii="Times New Roman" w:hAnsi="Times New Roman" w:cs="Times New Roman"/>
          <w:sz w:val="16"/>
          <w:szCs w:val="16"/>
        </w:rPr>
        <w:t>rowth.</w:t>
      </w:r>
      <w:r w:rsidRPr="00EE1141">
        <w:rPr>
          <w:rFonts w:ascii="Times New Roman" w:hAnsi="Times New Roman" w:cs="Times New Roman"/>
          <w:sz w:val="16"/>
          <w:szCs w:val="16"/>
        </w:rPr>
        <w:t xml:space="preserve"> </w:t>
      </w:r>
      <w:r w:rsidR="003F0CA6">
        <w:rPr>
          <w:rFonts w:ascii="Times New Roman" w:hAnsi="Times New Roman" w:cs="Times New Roman"/>
          <w:sz w:val="16"/>
          <w:szCs w:val="16"/>
        </w:rPr>
        <w:t xml:space="preserve">We also control for firm </w:t>
      </w:r>
      <w:r w:rsidRPr="00EE1141">
        <w:rPr>
          <w:rFonts w:ascii="Times New Roman" w:hAnsi="Times New Roman" w:cs="Times New Roman"/>
          <w:sz w:val="16"/>
          <w:szCs w:val="16"/>
        </w:rPr>
        <w:t xml:space="preserve">fixed effects and country-level GDP per capita and GDP growth. We also add Fama-French-48 industry × calendar quarter interaction fixed effects to control for time-varying investment opportunities. </w:t>
      </w:r>
      <w:r w:rsidR="003F0CA6" w:rsidRPr="00EE1141">
        <w:rPr>
          <w:rFonts w:ascii="Times New Roman" w:hAnsi="Times New Roman" w:cs="Times New Roman"/>
          <w:sz w:val="16"/>
        </w:rPr>
        <w:t xml:space="preserve">We categorize country-level variables into </w:t>
      </w:r>
      <w:r w:rsidR="003F0CA6">
        <w:rPr>
          <w:rFonts w:ascii="Times New Roman" w:hAnsi="Times New Roman" w:cs="Times New Roman"/>
          <w:sz w:val="16"/>
        </w:rPr>
        <w:t>two categories: investor rights and protection and level of financial market development</w:t>
      </w:r>
      <w:r w:rsidR="003F0CA6" w:rsidRPr="00EE1141">
        <w:rPr>
          <w:rFonts w:ascii="Times New Roman" w:hAnsi="Times New Roman" w:cs="Times New Roman"/>
          <w:sz w:val="16"/>
        </w:rPr>
        <w:t>.</w:t>
      </w:r>
      <w:r w:rsidR="003F0CA6" w:rsidRPr="003F0CA6">
        <w:rPr>
          <w:rFonts w:ascii="Times New Roman" w:hAnsi="Times New Roman" w:cs="Times New Roman"/>
          <w:sz w:val="16"/>
          <w:szCs w:val="16"/>
        </w:rPr>
        <w:t xml:space="preserve"> </w:t>
      </w:r>
      <w:r w:rsidR="003F0CA6" w:rsidRPr="00EE1141">
        <w:rPr>
          <w:rFonts w:ascii="Times New Roman" w:hAnsi="Times New Roman" w:cs="Times New Roman"/>
          <w:sz w:val="16"/>
          <w:szCs w:val="16"/>
        </w:rPr>
        <w:t>Robust standard errors are reported in parentheses. *, **, and *** indicate significance at the 10%, 5%, and 1% level, respectively. Standard errors are clustered at the country level. Firm-level controls are winsorized at the 1% tails. Our sample includes 4</w:t>
      </w:r>
      <w:r w:rsidR="003F0CA6">
        <w:rPr>
          <w:rFonts w:ascii="Times New Roman" w:hAnsi="Times New Roman" w:cs="Times New Roman"/>
          <w:sz w:val="16"/>
          <w:szCs w:val="16"/>
        </w:rPr>
        <w:t>1</w:t>
      </w:r>
      <w:r w:rsidR="003F0CA6" w:rsidRPr="00EE1141">
        <w:rPr>
          <w:rFonts w:ascii="Times New Roman" w:hAnsi="Times New Roman" w:cs="Times New Roman"/>
          <w:sz w:val="16"/>
          <w:szCs w:val="16"/>
        </w:rPr>
        <w:t xml:space="preserve"> countries and covers the period 2005-2014 in fiscal years. </w:t>
      </w:r>
      <w:r w:rsidR="003F0CA6" w:rsidRPr="00EE1141">
        <w:rPr>
          <w:rFonts w:ascii="Times New Roman" w:hAnsi="Times New Roman" w:cs="Times New Roman"/>
          <w:sz w:val="16"/>
        </w:rPr>
        <w:t xml:space="preserve">The details of </w:t>
      </w:r>
      <w:r w:rsidR="00050F48">
        <w:rPr>
          <w:rFonts w:ascii="Times New Roman" w:hAnsi="Times New Roman" w:cs="Times New Roman"/>
          <w:sz w:val="16"/>
        </w:rPr>
        <w:t>the country-level</w:t>
      </w:r>
      <w:r w:rsidR="003F0CA6" w:rsidRPr="00EE1141">
        <w:rPr>
          <w:rFonts w:ascii="Times New Roman" w:hAnsi="Times New Roman" w:cs="Times New Roman"/>
          <w:sz w:val="16"/>
        </w:rPr>
        <w:t xml:space="preserve"> variables are provided in Appendix A.</w:t>
      </w:r>
    </w:p>
    <w:p w:rsidR="003F0CA6" w:rsidRDefault="00821BD4" w:rsidP="00191266">
      <w:pPr>
        <w:spacing w:after="120" w:line="240" w:lineRule="auto"/>
        <w:ind w:firstLine="288"/>
        <w:jc w:val="both"/>
        <w:rPr>
          <w:rFonts w:ascii="Times New Roman" w:hAnsi="Times New Roman" w:cs="Times New Roman"/>
          <w:sz w:val="16"/>
        </w:rPr>
      </w:pPr>
      <w:r w:rsidRPr="00EE1141">
        <w:rPr>
          <w:rFonts w:ascii="Times New Roman" w:hAnsi="Times New Roman" w:cs="Times New Roman"/>
          <w:sz w:val="16"/>
        </w:rPr>
        <w:t xml:space="preserve">Panel A reports the results in the </w:t>
      </w:r>
      <w:r w:rsidR="0035194C">
        <w:rPr>
          <w:rFonts w:ascii="Times New Roman" w:hAnsi="Times New Roman" w:cs="Times New Roman"/>
          <w:sz w:val="16"/>
        </w:rPr>
        <w:t>investor rights and protection</w:t>
      </w:r>
      <w:r w:rsidR="0035194C" w:rsidRPr="00EE1141">
        <w:rPr>
          <w:rFonts w:ascii="Times New Roman" w:hAnsi="Times New Roman" w:cs="Times New Roman"/>
          <w:sz w:val="16"/>
        </w:rPr>
        <w:t xml:space="preserve"> </w:t>
      </w:r>
      <w:r w:rsidRPr="00EE1141">
        <w:rPr>
          <w:rFonts w:ascii="Times New Roman" w:hAnsi="Times New Roman" w:cs="Times New Roman"/>
          <w:sz w:val="16"/>
        </w:rPr>
        <w:t xml:space="preserve">category. These variables include </w:t>
      </w:r>
      <w:r w:rsidR="0035194C">
        <w:rPr>
          <w:rFonts w:ascii="Times New Roman" w:hAnsi="Times New Roman" w:cs="Times New Roman"/>
          <w:sz w:val="16"/>
        </w:rPr>
        <w:t>an</w:t>
      </w:r>
      <w:r w:rsidR="0035194C" w:rsidRPr="00EE1141">
        <w:rPr>
          <w:rFonts w:ascii="Times New Roman" w:hAnsi="Times New Roman" w:cs="Times New Roman"/>
          <w:sz w:val="16"/>
        </w:rPr>
        <w:t>ti-director rights index (AD), the anti-self-dealing index (AS), extent of disclosure index (DISC)</w:t>
      </w:r>
      <w:r w:rsidR="0035194C">
        <w:rPr>
          <w:rFonts w:ascii="Times New Roman" w:hAnsi="Times New Roman" w:cs="Times New Roman"/>
          <w:sz w:val="16"/>
        </w:rPr>
        <w:t xml:space="preserve">, </w:t>
      </w:r>
      <w:r w:rsidR="0035194C" w:rsidRPr="00EE1141">
        <w:rPr>
          <w:rFonts w:ascii="Times New Roman" w:hAnsi="Times New Roman" w:cs="Times New Roman"/>
          <w:sz w:val="16"/>
        </w:rPr>
        <w:t>accounting quality (ACCT),</w:t>
      </w:r>
      <w:r w:rsidR="0035194C">
        <w:rPr>
          <w:rFonts w:ascii="Times New Roman" w:hAnsi="Times New Roman" w:cs="Times New Roman"/>
          <w:sz w:val="16"/>
        </w:rPr>
        <w:t xml:space="preserve"> earnings management index (EM)</w:t>
      </w:r>
      <w:r w:rsidR="004E3829">
        <w:rPr>
          <w:rFonts w:ascii="Times New Roman" w:hAnsi="Times New Roman" w:cs="Times New Roman"/>
          <w:sz w:val="16"/>
        </w:rPr>
        <w:t xml:space="preserve">, </w:t>
      </w:r>
      <w:r w:rsidR="004E3829" w:rsidRPr="00EE1141">
        <w:rPr>
          <w:rFonts w:ascii="Times New Roman" w:hAnsi="Times New Roman" w:cs="Times New Roman"/>
          <w:sz w:val="16"/>
        </w:rPr>
        <w:t>an indicator of whether the country has English Common La</w:t>
      </w:r>
      <w:r w:rsidR="004E3829">
        <w:rPr>
          <w:rFonts w:ascii="Times New Roman" w:hAnsi="Times New Roman" w:cs="Times New Roman"/>
          <w:sz w:val="16"/>
        </w:rPr>
        <w:t>w legal origin (UK)</w:t>
      </w:r>
      <w:r w:rsidR="003F0CA6">
        <w:rPr>
          <w:rFonts w:ascii="Times New Roman" w:hAnsi="Times New Roman" w:cs="Times New Roman"/>
          <w:sz w:val="16"/>
        </w:rPr>
        <w:t>,</w:t>
      </w:r>
      <w:r w:rsidR="004E3829">
        <w:rPr>
          <w:rFonts w:ascii="Times New Roman" w:hAnsi="Times New Roman" w:cs="Times New Roman"/>
          <w:sz w:val="16"/>
        </w:rPr>
        <w:t xml:space="preserve"> and</w:t>
      </w:r>
      <w:r w:rsidR="004E3829" w:rsidRPr="00EE1141">
        <w:rPr>
          <w:rFonts w:ascii="Times New Roman" w:hAnsi="Times New Roman" w:cs="Times New Roman"/>
          <w:sz w:val="16"/>
        </w:rPr>
        <w:t xml:space="preserve"> rule of law index (RULE)</w:t>
      </w:r>
      <w:r w:rsidR="004E3829">
        <w:rPr>
          <w:rFonts w:ascii="Times New Roman" w:hAnsi="Times New Roman" w:cs="Times New Roman"/>
          <w:sz w:val="16"/>
        </w:rPr>
        <w:t>, a measure for law enforcement</w:t>
      </w:r>
      <w:r w:rsidR="0035194C">
        <w:rPr>
          <w:rFonts w:ascii="Times New Roman" w:hAnsi="Times New Roman" w:cs="Times New Roman"/>
          <w:sz w:val="16"/>
        </w:rPr>
        <w:t>.</w:t>
      </w:r>
      <w:r w:rsidRPr="00EE1141">
        <w:rPr>
          <w:rFonts w:ascii="Times New Roman" w:hAnsi="Times New Roman" w:cs="Times New Roman"/>
          <w:sz w:val="16"/>
        </w:rPr>
        <w:t xml:space="preserve"> </w:t>
      </w:r>
    </w:p>
    <w:p w:rsidR="007766C2" w:rsidRDefault="007766C2" w:rsidP="00821BD4">
      <w:pPr>
        <w:spacing w:after="120" w:line="240" w:lineRule="auto"/>
        <w:ind w:firstLine="288"/>
        <w:rPr>
          <w:rFonts w:ascii="Times New Roman" w:hAnsi="Times New Roman" w:cs="Times New Roman"/>
          <w:sz w:val="16"/>
        </w:rPr>
      </w:pPr>
    </w:p>
    <w:tbl>
      <w:tblPr>
        <w:tblW w:w="9504" w:type="dxa"/>
        <w:jc w:val="center"/>
        <w:tblLayout w:type="fixed"/>
        <w:tblCellMar>
          <w:left w:w="75" w:type="dxa"/>
          <w:right w:w="75" w:type="dxa"/>
        </w:tblCellMar>
        <w:tblLook w:val="0000" w:firstRow="0" w:lastRow="0" w:firstColumn="0" w:lastColumn="0" w:noHBand="0" w:noVBand="0"/>
      </w:tblPr>
      <w:tblGrid>
        <w:gridCol w:w="1440"/>
        <w:gridCol w:w="1152"/>
        <w:gridCol w:w="1152"/>
        <w:gridCol w:w="1152"/>
        <w:gridCol w:w="1152"/>
        <w:gridCol w:w="1152"/>
        <w:gridCol w:w="1152"/>
        <w:gridCol w:w="1152"/>
      </w:tblGrid>
      <w:tr w:rsidR="00EA4DB4" w:rsidRPr="007766C2" w:rsidTr="000928AC">
        <w:trPr>
          <w:trHeight w:val="330"/>
          <w:jc w:val="center"/>
        </w:trPr>
        <w:tc>
          <w:tcPr>
            <w:tcW w:w="9504" w:type="dxa"/>
            <w:gridSpan w:val="8"/>
            <w:tcBorders>
              <w:top w:val="double" w:sz="4" w:space="0" w:color="auto"/>
              <w:left w:val="nil"/>
              <w:right w:val="nil"/>
            </w:tcBorders>
            <w:vAlign w:val="center"/>
          </w:tcPr>
          <w:p w:rsidR="00EA4DB4" w:rsidRPr="007766C2" w:rsidRDefault="00EA4DB4" w:rsidP="001366A8">
            <w:pPr>
              <w:widowControl w:val="0"/>
              <w:autoSpaceDE w:val="0"/>
              <w:autoSpaceDN w:val="0"/>
              <w:adjustRightInd w:val="0"/>
              <w:spacing w:after="0" w:line="240" w:lineRule="auto"/>
              <w:jc w:val="center"/>
              <w:rPr>
                <w:rFonts w:ascii="Times New Roman" w:hAnsi="Times New Roman" w:cs="Times New Roman"/>
                <w:sz w:val="18"/>
                <w:szCs w:val="10"/>
              </w:rPr>
            </w:pPr>
            <w:r w:rsidRPr="007766C2">
              <w:rPr>
                <w:rFonts w:ascii="Times New Roman" w:hAnsi="Times New Roman" w:cs="Times New Roman"/>
                <w:sz w:val="18"/>
                <w:szCs w:val="24"/>
              </w:rPr>
              <w:t>Panel A: Investor Rights and Protections</w:t>
            </w:r>
            <w:r>
              <w:rPr>
                <w:rFonts w:ascii="Times New Roman" w:hAnsi="Times New Roman" w:cs="Times New Roman"/>
                <w:sz w:val="18"/>
                <w:szCs w:val="24"/>
              </w:rPr>
              <w:t xml:space="preserve"> (INV_RIGHTS) – Full Sample</w:t>
            </w:r>
          </w:p>
        </w:tc>
      </w:tr>
      <w:tr w:rsidR="00EA4DB4" w:rsidRPr="007766C2" w:rsidTr="000928AC">
        <w:trPr>
          <w:jc w:val="center"/>
        </w:trPr>
        <w:tc>
          <w:tcPr>
            <w:tcW w:w="1440" w:type="dxa"/>
            <w:tcBorders>
              <w:left w:val="nil"/>
              <w:bottom w:val="single" w:sz="6" w:space="0" w:color="auto"/>
              <w:right w:val="nil"/>
            </w:tcBorders>
          </w:tcPr>
          <w:p w:rsidR="00EA4DB4" w:rsidRPr="00EA4DB4" w:rsidRDefault="00050F48" w:rsidP="007766C2">
            <w:pPr>
              <w:widowControl w:val="0"/>
              <w:autoSpaceDE w:val="0"/>
              <w:autoSpaceDN w:val="0"/>
              <w:adjustRightInd w:val="0"/>
              <w:spacing w:after="0" w:line="240" w:lineRule="auto"/>
              <w:rPr>
                <w:rFonts w:ascii="Times New Roman" w:hAnsi="Times New Roman" w:cs="Times New Roman"/>
                <w:sz w:val="16"/>
                <w:szCs w:val="16"/>
              </w:rPr>
            </w:pPr>
            <w:r w:rsidRPr="00050F48">
              <w:rPr>
                <w:rFonts w:ascii="Times New Roman" w:hAnsi="Times New Roman" w:cs="Times New Roman"/>
                <w:sz w:val="18"/>
                <w:szCs w:val="16"/>
              </w:rPr>
              <w:t>Variables</w:t>
            </w:r>
          </w:p>
        </w:tc>
        <w:tc>
          <w:tcPr>
            <w:tcW w:w="1152" w:type="dxa"/>
            <w:tcBorders>
              <w:left w:val="nil"/>
              <w:bottom w:val="single" w:sz="6" w:space="0" w:color="auto"/>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AD</w:t>
            </w:r>
          </w:p>
        </w:tc>
        <w:tc>
          <w:tcPr>
            <w:tcW w:w="1152" w:type="dxa"/>
            <w:tcBorders>
              <w:left w:val="nil"/>
              <w:bottom w:val="single" w:sz="6" w:space="0" w:color="auto"/>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AS</w:t>
            </w:r>
          </w:p>
        </w:tc>
        <w:tc>
          <w:tcPr>
            <w:tcW w:w="1152" w:type="dxa"/>
            <w:tcBorders>
              <w:left w:val="nil"/>
              <w:bottom w:val="single" w:sz="6" w:space="0" w:color="auto"/>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DISC</w:t>
            </w:r>
          </w:p>
        </w:tc>
        <w:tc>
          <w:tcPr>
            <w:tcW w:w="1152" w:type="dxa"/>
            <w:tcBorders>
              <w:left w:val="nil"/>
              <w:bottom w:val="single" w:sz="6" w:space="0" w:color="auto"/>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ACCT</w:t>
            </w:r>
          </w:p>
        </w:tc>
        <w:tc>
          <w:tcPr>
            <w:tcW w:w="1152" w:type="dxa"/>
            <w:tcBorders>
              <w:left w:val="nil"/>
              <w:bottom w:val="single" w:sz="6" w:space="0" w:color="auto"/>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EM</w:t>
            </w:r>
          </w:p>
        </w:tc>
        <w:tc>
          <w:tcPr>
            <w:tcW w:w="1152" w:type="dxa"/>
            <w:tcBorders>
              <w:left w:val="nil"/>
              <w:bottom w:val="single" w:sz="6" w:space="0" w:color="auto"/>
              <w:right w:val="nil"/>
            </w:tcBorders>
          </w:tcPr>
          <w:p w:rsidR="00EA4DB4" w:rsidRPr="00EA4DB4" w:rsidRDefault="00EA4DB4" w:rsidP="0055259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UK</w:t>
            </w:r>
          </w:p>
        </w:tc>
        <w:tc>
          <w:tcPr>
            <w:tcW w:w="1152" w:type="dxa"/>
            <w:tcBorders>
              <w:left w:val="nil"/>
              <w:bottom w:val="single" w:sz="6" w:space="0" w:color="auto"/>
              <w:right w:val="nil"/>
            </w:tcBorders>
          </w:tcPr>
          <w:p w:rsidR="00EA4DB4" w:rsidRPr="00EA4DB4" w:rsidRDefault="00EA4DB4" w:rsidP="0055259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RULE</w:t>
            </w:r>
          </w:p>
        </w:tc>
      </w:tr>
      <w:tr w:rsidR="00EA4DB4" w:rsidRPr="007766C2" w:rsidTr="006358DF">
        <w:trPr>
          <w:jc w:val="center"/>
        </w:trPr>
        <w:tc>
          <w:tcPr>
            <w:tcW w:w="1440"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rPr>
                <w:rFonts w:ascii="Times New Roman" w:hAnsi="Times New Roman" w:cs="Times New Roman"/>
                <w:sz w:val="16"/>
                <w:szCs w:val="16"/>
              </w:rPr>
            </w:pP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152" w:type="dxa"/>
            <w:tcBorders>
              <w:top w:val="nil"/>
              <w:left w:val="nil"/>
              <w:bottom w:val="nil"/>
              <w:right w:val="nil"/>
            </w:tcBorders>
          </w:tcPr>
          <w:p w:rsidR="00EA4DB4" w:rsidRPr="00EA4DB4" w:rsidRDefault="00EA4DB4" w:rsidP="00552592">
            <w:pPr>
              <w:widowControl w:val="0"/>
              <w:autoSpaceDE w:val="0"/>
              <w:autoSpaceDN w:val="0"/>
              <w:adjustRightInd w:val="0"/>
              <w:spacing w:after="0" w:line="240" w:lineRule="auto"/>
              <w:jc w:val="center"/>
              <w:rPr>
                <w:rFonts w:ascii="Times New Roman" w:hAnsi="Times New Roman" w:cs="Times New Roman"/>
                <w:sz w:val="16"/>
                <w:szCs w:val="16"/>
              </w:rPr>
            </w:pPr>
          </w:p>
        </w:tc>
        <w:tc>
          <w:tcPr>
            <w:tcW w:w="1152" w:type="dxa"/>
            <w:tcBorders>
              <w:top w:val="nil"/>
              <w:left w:val="nil"/>
              <w:bottom w:val="nil"/>
              <w:right w:val="nil"/>
            </w:tcBorders>
          </w:tcPr>
          <w:p w:rsidR="00EA4DB4" w:rsidRPr="00EA4DB4" w:rsidRDefault="00EA4DB4" w:rsidP="00552592">
            <w:pPr>
              <w:widowControl w:val="0"/>
              <w:autoSpaceDE w:val="0"/>
              <w:autoSpaceDN w:val="0"/>
              <w:adjustRightInd w:val="0"/>
              <w:spacing w:after="0" w:line="240" w:lineRule="auto"/>
              <w:jc w:val="center"/>
              <w:rPr>
                <w:rFonts w:ascii="Times New Roman" w:hAnsi="Times New Roman" w:cs="Times New Roman"/>
                <w:sz w:val="16"/>
                <w:szCs w:val="16"/>
              </w:rPr>
            </w:pPr>
          </w:p>
        </w:tc>
      </w:tr>
      <w:tr w:rsidR="004201F7" w:rsidRPr="007766C2" w:rsidTr="006358DF">
        <w:trPr>
          <w:jc w:val="center"/>
        </w:trPr>
        <w:tc>
          <w:tcPr>
            <w:tcW w:w="1440" w:type="dxa"/>
            <w:tcBorders>
              <w:top w:val="nil"/>
              <w:left w:val="nil"/>
              <w:bottom w:val="nil"/>
              <w:right w:val="nil"/>
            </w:tcBorders>
          </w:tcPr>
          <w:p w:rsidR="004201F7" w:rsidRPr="006E7689" w:rsidRDefault="004201F7" w:rsidP="000928AC">
            <w:pPr>
              <w:widowControl w:val="0"/>
              <w:autoSpaceDE w:val="0"/>
              <w:autoSpaceDN w:val="0"/>
              <w:adjustRightInd w:val="0"/>
              <w:spacing w:after="0" w:line="240" w:lineRule="auto"/>
              <w:rPr>
                <w:rFonts w:ascii="Times New Roman" w:hAnsi="Times New Roman" w:cs="Times New Roman"/>
                <w:sz w:val="16"/>
                <w:szCs w:val="16"/>
              </w:rPr>
            </w:pPr>
            <w:r w:rsidRPr="006E7689">
              <w:rPr>
                <w:rFonts w:ascii="Times New Roman" w:hAnsi="Times New Roman" w:cs="Times New Roman"/>
                <w:sz w:val="16"/>
                <w:szCs w:val="16"/>
              </w:rPr>
              <w:t>C</w:t>
            </w:r>
            <w:r>
              <w:rPr>
                <w:rFonts w:ascii="Times New Roman" w:hAnsi="Times New Roman" w:cs="Times New Roman"/>
                <w:sz w:val="16"/>
                <w:szCs w:val="16"/>
              </w:rPr>
              <w:t xml:space="preserve">ash </w:t>
            </w:r>
            <w:r w:rsidRPr="006E7689">
              <w:rPr>
                <w:rFonts w:ascii="Times New Roman" w:hAnsi="Times New Roman" w:cs="Times New Roman"/>
                <w:sz w:val="16"/>
                <w:szCs w:val="16"/>
              </w:rPr>
              <w:t>F</w:t>
            </w:r>
            <w:r>
              <w:rPr>
                <w:rFonts w:ascii="Times New Roman" w:hAnsi="Times New Roman" w:cs="Times New Roman"/>
                <w:sz w:val="16"/>
                <w:szCs w:val="16"/>
              </w:rPr>
              <w:t>low</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0.923***</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0.912***</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0.891***</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0.930***</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0.929***</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0.917***</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0.916***</w:t>
            </w:r>
          </w:p>
        </w:tc>
      </w:tr>
      <w:tr w:rsidR="004201F7" w:rsidRPr="007766C2" w:rsidTr="006358DF">
        <w:trPr>
          <w:jc w:val="center"/>
        </w:trPr>
        <w:tc>
          <w:tcPr>
            <w:tcW w:w="1440" w:type="dxa"/>
            <w:tcBorders>
              <w:top w:val="nil"/>
              <w:left w:val="nil"/>
              <w:bottom w:val="nil"/>
              <w:right w:val="nil"/>
            </w:tcBorders>
          </w:tcPr>
          <w:p w:rsidR="004201F7" w:rsidRPr="006E7689" w:rsidRDefault="004201F7" w:rsidP="000928AC">
            <w:pPr>
              <w:widowControl w:val="0"/>
              <w:autoSpaceDE w:val="0"/>
              <w:autoSpaceDN w:val="0"/>
              <w:adjustRightInd w:val="0"/>
              <w:spacing w:after="0" w:line="240" w:lineRule="auto"/>
              <w:rPr>
                <w:rFonts w:ascii="Times New Roman" w:hAnsi="Times New Roman" w:cs="Times New Roman"/>
                <w:sz w:val="16"/>
                <w:szCs w:val="16"/>
              </w:rPr>
            </w:pP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(0.111)</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(0.109)</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(0.116)</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(0.113)</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(0.114)</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(0.108)</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(0.106)</w:t>
            </w:r>
          </w:p>
        </w:tc>
      </w:tr>
      <w:tr w:rsidR="004201F7" w:rsidRPr="007766C2" w:rsidTr="004201F7">
        <w:trPr>
          <w:jc w:val="center"/>
        </w:trPr>
        <w:tc>
          <w:tcPr>
            <w:tcW w:w="1440" w:type="dxa"/>
            <w:tcBorders>
              <w:top w:val="nil"/>
              <w:left w:val="nil"/>
              <w:bottom w:val="nil"/>
              <w:right w:val="nil"/>
            </w:tcBorders>
          </w:tcPr>
          <w:p w:rsidR="004201F7" w:rsidRPr="00056731" w:rsidRDefault="004201F7" w:rsidP="000928AC">
            <w:pPr>
              <w:widowControl w:val="0"/>
              <w:autoSpaceDE w:val="0"/>
              <w:autoSpaceDN w:val="0"/>
              <w:adjustRightInd w:val="0"/>
              <w:spacing w:after="0" w:line="240" w:lineRule="auto"/>
              <w:rPr>
                <w:rFonts w:ascii="Times New Roman" w:hAnsi="Times New Roman" w:cs="Times New Roman"/>
                <w:sz w:val="15"/>
                <w:szCs w:val="15"/>
              </w:rPr>
            </w:pPr>
            <w:r w:rsidRPr="00056731">
              <w:rPr>
                <w:rFonts w:ascii="Times New Roman" w:hAnsi="Times New Roman" w:cs="Times New Roman"/>
                <w:sz w:val="15"/>
                <w:szCs w:val="15"/>
              </w:rPr>
              <w:t>Change in Cash Holdings</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-1.640***</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-1.649***</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-1.658***</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-1.631***</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-1.626***</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-1.654***</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-1.659***</w:t>
            </w:r>
          </w:p>
        </w:tc>
      </w:tr>
      <w:tr w:rsidR="004201F7" w:rsidRPr="007766C2" w:rsidTr="006358DF">
        <w:trPr>
          <w:jc w:val="center"/>
        </w:trPr>
        <w:tc>
          <w:tcPr>
            <w:tcW w:w="1440" w:type="dxa"/>
            <w:tcBorders>
              <w:top w:val="nil"/>
              <w:left w:val="nil"/>
              <w:bottom w:val="nil"/>
              <w:right w:val="nil"/>
            </w:tcBorders>
          </w:tcPr>
          <w:p w:rsidR="004201F7" w:rsidRPr="006E7689" w:rsidRDefault="004201F7" w:rsidP="000928AC">
            <w:pPr>
              <w:widowControl w:val="0"/>
              <w:autoSpaceDE w:val="0"/>
              <w:autoSpaceDN w:val="0"/>
              <w:adjustRightInd w:val="0"/>
              <w:spacing w:after="0" w:line="240" w:lineRule="auto"/>
              <w:rPr>
                <w:rFonts w:ascii="Times New Roman" w:hAnsi="Times New Roman" w:cs="Times New Roman"/>
                <w:sz w:val="16"/>
                <w:szCs w:val="16"/>
              </w:rPr>
            </w:pP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(0.0859)</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(0.0850)</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(0.0865)</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(0.0880)</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(0.0854)</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(0.0844)</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(0.0842)</w:t>
            </w:r>
          </w:p>
        </w:tc>
      </w:tr>
      <w:tr w:rsidR="004201F7" w:rsidRPr="007766C2" w:rsidTr="006358DF">
        <w:trPr>
          <w:jc w:val="center"/>
        </w:trPr>
        <w:tc>
          <w:tcPr>
            <w:tcW w:w="1440" w:type="dxa"/>
            <w:tcBorders>
              <w:top w:val="nil"/>
              <w:left w:val="nil"/>
              <w:bottom w:val="nil"/>
              <w:right w:val="nil"/>
            </w:tcBorders>
          </w:tcPr>
          <w:p w:rsidR="004201F7" w:rsidRPr="006E7689" w:rsidRDefault="004201F7" w:rsidP="000928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Tobin’s </w:t>
            </w:r>
            <w:r w:rsidRPr="006E7689">
              <w:rPr>
                <w:rFonts w:ascii="Times New Roman" w:hAnsi="Times New Roman" w:cs="Times New Roman"/>
                <w:sz w:val="16"/>
                <w:szCs w:val="16"/>
              </w:rPr>
              <w:t>q</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0.144***</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0.148***</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0.151***</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0.146***</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0.146***</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0.147***</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0.146***</w:t>
            </w:r>
          </w:p>
        </w:tc>
      </w:tr>
      <w:tr w:rsidR="004201F7" w:rsidRPr="007766C2" w:rsidTr="006358DF">
        <w:trPr>
          <w:jc w:val="center"/>
        </w:trPr>
        <w:tc>
          <w:tcPr>
            <w:tcW w:w="1440" w:type="dxa"/>
            <w:tcBorders>
              <w:top w:val="nil"/>
              <w:left w:val="nil"/>
              <w:bottom w:val="nil"/>
              <w:right w:val="nil"/>
            </w:tcBorders>
          </w:tcPr>
          <w:p w:rsidR="004201F7" w:rsidRPr="006E7689" w:rsidRDefault="004201F7" w:rsidP="000928AC">
            <w:pPr>
              <w:widowControl w:val="0"/>
              <w:autoSpaceDE w:val="0"/>
              <w:autoSpaceDN w:val="0"/>
              <w:adjustRightInd w:val="0"/>
              <w:spacing w:after="0" w:line="240" w:lineRule="auto"/>
              <w:rPr>
                <w:rFonts w:ascii="Times New Roman" w:hAnsi="Times New Roman" w:cs="Times New Roman"/>
                <w:sz w:val="16"/>
                <w:szCs w:val="16"/>
              </w:rPr>
            </w:pP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(0.0069)</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(0.0080)</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(0.0077)</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(0.007</w:t>
            </w:r>
            <w:r w:rsidR="003A641B">
              <w:rPr>
                <w:rFonts w:ascii="Times New Roman" w:hAnsi="Times New Roman" w:cs="Times New Roman"/>
                <w:sz w:val="16"/>
                <w:szCs w:val="18"/>
              </w:rPr>
              <w:t>2</w:t>
            </w:r>
            <w:r w:rsidRPr="004201F7">
              <w:rPr>
                <w:rFonts w:ascii="Times New Roman" w:hAnsi="Times New Roman" w:cs="Times New Roman"/>
                <w:sz w:val="16"/>
                <w:szCs w:val="18"/>
              </w:rPr>
              <w:t>)</w:t>
            </w:r>
          </w:p>
        </w:tc>
        <w:tc>
          <w:tcPr>
            <w:tcW w:w="1152" w:type="dxa"/>
            <w:tcBorders>
              <w:top w:val="nil"/>
              <w:left w:val="nil"/>
              <w:bottom w:val="nil"/>
              <w:right w:val="nil"/>
            </w:tcBorders>
          </w:tcPr>
          <w:p w:rsidR="004201F7" w:rsidRPr="004201F7" w:rsidRDefault="003A641B" w:rsidP="005A07A2">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(0.0071</w:t>
            </w:r>
            <w:r w:rsidR="004201F7" w:rsidRPr="004201F7">
              <w:rPr>
                <w:rFonts w:ascii="Times New Roman" w:hAnsi="Times New Roman" w:cs="Times New Roman"/>
                <w:sz w:val="16"/>
                <w:szCs w:val="18"/>
              </w:rPr>
              <w:t>)</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(0.0078)</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(0.0075)</w:t>
            </w:r>
          </w:p>
        </w:tc>
      </w:tr>
      <w:tr w:rsidR="004201F7" w:rsidRPr="007766C2" w:rsidTr="006358DF">
        <w:trPr>
          <w:jc w:val="center"/>
        </w:trPr>
        <w:tc>
          <w:tcPr>
            <w:tcW w:w="1440" w:type="dxa"/>
            <w:tcBorders>
              <w:top w:val="nil"/>
              <w:left w:val="nil"/>
              <w:bottom w:val="nil"/>
              <w:right w:val="nil"/>
            </w:tcBorders>
          </w:tcPr>
          <w:p w:rsidR="004201F7" w:rsidRPr="006E7689" w:rsidRDefault="004201F7" w:rsidP="000928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Sales Growth</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0.0692***</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0.0688***</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0.0723***</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0.0677***</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0.0705***</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0.0704***</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0.0703***</w:t>
            </w:r>
          </w:p>
        </w:tc>
      </w:tr>
      <w:tr w:rsidR="004201F7" w:rsidRPr="007766C2" w:rsidTr="006358DF">
        <w:trPr>
          <w:jc w:val="center"/>
        </w:trPr>
        <w:tc>
          <w:tcPr>
            <w:tcW w:w="1440" w:type="dxa"/>
            <w:tcBorders>
              <w:top w:val="nil"/>
              <w:left w:val="nil"/>
              <w:bottom w:val="nil"/>
              <w:right w:val="nil"/>
            </w:tcBorders>
          </w:tcPr>
          <w:p w:rsidR="004201F7" w:rsidRPr="006E7689" w:rsidRDefault="004201F7" w:rsidP="000928AC">
            <w:pPr>
              <w:widowControl w:val="0"/>
              <w:autoSpaceDE w:val="0"/>
              <w:autoSpaceDN w:val="0"/>
              <w:adjustRightInd w:val="0"/>
              <w:spacing w:after="0" w:line="240" w:lineRule="auto"/>
              <w:rPr>
                <w:rFonts w:ascii="Times New Roman" w:hAnsi="Times New Roman" w:cs="Times New Roman"/>
                <w:sz w:val="16"/>
                <w:szCs w:val="16"/>
              </w:rPr>
            </w:pP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(0.0103)</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(0.0102)</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(0.0113)</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(0.0105)</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(0.0101)</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(0.0099)</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(0.0099)</w:t>
            </w:r>
          </w:p>
        </w:tc>
      </w:tr>
      <w:tr w:rsidR="004201F7" w:rsidRPr="007766C2" w:rsidTr="006358DF">
        <w:trPr>
          <w:jc w:val="center"/>
        </w:trPr>
        <w:tc>
          <w:tcPr>
            <w:tcW w:w="1440" w:type="dxa"/>
            <w:tcBorders>
              <w:top w:val="nil"/>
              <w:left w:val="nil"/>
              <w:bottom w:val="nil"/>
              <w:right w:val="nil"/>
            </w:tcBorders>
          </w:tcPr>
          <w:p w:rsidR="004201F7" w:rsidRPr="006E7689" w:rsidRDefault="004201F7" w:rsidP="000928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Leverage</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-1.006***</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-1.029***</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-1.049***</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-0.992***</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-0.961***</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-1.020***</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-1.021***</w:t>
            </w:r>
          </w:p>
        </w:tc>
      </w:tr>
      <w:tr w:rsidR="004201F7" w:rsidRPr="007766C2" w:rsidTr="006358DF">
        <w:trPr>
          <w:jc w:val="center"/>
        </w:trPr>
        <w:tc>
          <w:tcPr>
            <w:tcW w:w="1440" w:type="dxa"/>
            <w:tcBorders>
              <w:top w:val="nil"/>
              <w:left w:val="nil"/>
              <w:bottom w:val="nil"/>
              <w:right w:val="nil"/>
            </w:tcBorders>
          </w:tcPr>
          <w:p w:rsidR="004201F7" w:rsidRPr="006E7689" w:rsidRDefault="004201F7" w:rsidP="000928AC">
            <w:pPr>
              <w:widowControl w:val="0"/>
              <w:autoSpaceDE w:val="0"/>
              <w:autoSpaceDN w:val="0"/>
              <w:adjustRightInd w:val="0"/>
              <w:spacing w:after="0" w:line="240" w:lineRule="auto"/>
              <w:rPr>
                <w:rFonts w:ascii="Times New Roman" w:hAnsi="Times New Roman" w:cs="Times New Roman"/>
                <w:sz w:val="16"/>
                <w:szCs w:val="16"/>
              </w:rPr>
            </w:pP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(0.128)</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(0.136)</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(0.130)</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(0.121)</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(0.112)</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(0.131)</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(0.131)</w:t>
            </w:r>
          </w:p>
        </w:tc>
      </w:tr>
      <w:tr w:rsidR="004201F7" w:rsidRPr="007766C2" w:rsidTr="006358DF">
        <w:trPr>
          <w:jc w:val="center"/>
        </w:trPr>
        <w:tc>
          <w:tcPr>
            <w:tcW w:w="1440" w:type="dxa"/>
            <w:tcBorders>
              <w:top w:val="nil"/>
              <w:left w:val="nil"/>
              <w:bottom w:val="nil"/>
              <w:right w:val="nil"/>
            </w:tcBorders>
          </w:tcPr>
          <w:p w:rsidR="004201F7" w:rsidRPr="006E7689" w:rsidRDefault="004201F7" w:rsidP="000928AC">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Implicit Tax Rate</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-0.0053</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-0.005</w:t>
            </w:r>
            <w:r w:rsidR="003A641B">
              <w:rPr>
                <w:rFonts w:ascii="Times New Roman" w:hAnsi="Times New Roman" w:cs="Times New Roman"/>
                <w:sz w:val="16"/>
                <w:szCs w:val="18"/>
              </w:rPr>
              <w:t>2</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-0.0092</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-0.006</w:t>
            </w:r>
            <w:r w:rsidR="003A641B">
              <w:rPr>
                <w:rFonts w:ascii="Times New Roman" w:hAnsi="Times New Roman" w:cs="Times New Roman"/>
                <w:sz w:val="16"/>
                <w:szCs w:val="18"/>
              </w:rPr>
              <w:t>1</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-0.0058</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-0.0063</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-0.0062</w:t>
            </w:r>
          </w:p>
        </w:tc>
      </w:tr>
      <w:tr w:rsidR="004201F7" w:rsidRPr="007766C2" w:rsidTr="006358DF">
        <w:trPr>
          <w:jc w:val="center"/>
        </w:trPr>
        <w:tc>
          <w:tcPr>
            <w:tcW w:w="1440" w:type="dxa"/>
            <w:tcBorders>
              <w:top w:val="nil"/>
              <w:left w:val="nil"/>
              <w:bottom w:val="nil"/>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(0.0079)</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(0.007</w:t>
            </w:r>
            <w:r w:rsidR="003A641B">
              <w:rPr>
                <w:rFonts w:ascii="Times New Roman" w:hAnsi="Times New Roman" w:cs="Times New Roman"/>
                <w:sz w:val="16"/>
                <w:szCs w:val="18"/>
              </w:rPr>
              <w:t>7</w:t>
            </w:r>
            <w:r w:rsidRPr="004201F7">
              <w:rPr>
                <w:rFonts w:ascii="Times New Roman" w:hAnsi="Times New Roman" w:cs="Times New Roman"/>
                <w:sz w:val="16"/>
                <w:szCs w:val="18"/>
              </w:rPr>
              <w:t>)</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(0.008</w:t>
            </w:r>
            <w:r w:rsidR="003A641B">
              <w:rPr>
                <w:rFonts w:ascii="Times New Roman" w:hAnsi="Times New Roman" w:cs="Times New Roman"/>
                <w:sz w:val="16"/>
                <w:szCs w:val="18"/>
              </w:rPr>
              <w:t>1</w:t>
            </w:r>
            <w:r w:rsidRPr="004201F7">
              <w:rPr>
                <w:rFonts w:ascii="Times New Roman" w:hAnsi="Times New Roman" w:cs="Times New Roman"/>
                <w:sz w:val="16"/>
                <w:szCs w:val="18"/>
              </w:rPr>
              <w:t>)</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(0.0078)</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(0.008</w:t>
            </w:r>
            <w:r w:rsidR="003A641B">
              <w:rPr>
                <w:rFonts w:ascii="Times New Roman" w:hAnsi="Times New Roman" w:cs="Times New Roman"/>
                <w:sz w:val="16"/>
                <w:szCs w:val="18"/>
              </w:rPr>
              <w:t>1</w:t>
            </w:r>
            <w:r w:rsidRPr="004201F7">
              <w:rPr>
                <w:rFonts w:ascii="Times New Roman" w:hAnsi="Times New Roman" w:cs="Times New Roman"/>
                <w:sz w:val="16"/>
                <w:szCs w:val="18"/>
              </w:rPr>
              <w:t>)</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(0.0080)</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(0.0077)</w:t>
            </w:r>
          </w:p>
        </w:tc>
      </w:tr>
      <w:tr w:rsidR="004201F7" w:rsidRPr="007766C2" w:rsidTr="006358DF">
        <w:trPr>
          <w:jc w:val="center"/>
        </w:trPr>
        <w:tc>
          <w:tcPr>
            <w:tcW w:w="1440" w:type="dxa"/>
            <w:tcBorders>
              <w:top w:val="nil"/>
              <w:left w:val="nil"/>
              <w:bottom w:val="nil"/>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Q4 Dummy</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0.303***</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0.307***</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0.259**</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0.680***</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0.0373*</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0.237***</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0.311***</w:t>
            </w:r>
          </w:p>
        </w:tc>
      </w:tr>
      <w:tr w:rsidR="004201F7" w:rsidRPr="007766C2" w:rsidTr="004201F7">
        <w:trPr>
          <w:trHeight w:val="207"/>
          <w:jc w:val="center"/>
        </w:trPr>
        <w:tc>
          <w:tcPr>
            <w:tcW w:w="1440" w:type="dxa"/>
            <w:tcBorders>
              <w:top w:val="nil"/>
              <w:left w:val="nil"/>
              <w:bottom w:val="nil"/>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(0.0615)</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(0.0847)</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(0.106)</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(0.183)</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(0.0200)</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(0.0541)</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(0.0464)</w:t>
            </w:r>
          </w:p>
        </w:tc>
      </w:tr>
      <w:tr w:rsidR="004201F7" w:rsidRPr="007766C2" w:rsidTr="006358DF">
        <w:trPr>
          <w:jc w:val="center"/>
        </w:trPr>
        <w:tc>
          <w:tcPr>
            <w:tcW w:w="1440" w:type="dxa"/>
            <w:tcBorders>
              <w:top w:val="nil"/>
              <w:left w:val="nil"/>
              <w:bottom w:val="nil"/>
              <w:right w:val="nil"/>
            </w:tcBorders>
          </w:tcPr>
          <w:p w:rsidR="004201F7" w:rsidRPr="00EA4DB4" w:rsidRDefault="004201F7" w:rsidP="00456487">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Size</w:t>
            </w:r>
            <w:r w:rsidRPr="006E7689">
              <w:rPr>
                <w:rFonts w:ascii="Times New Roman" w:hAnsi="Times New Roman" w:cs="Times New Roman"/>
                <w:sz w:val="16"/>
                <w:szCs w:val="16"/>
              </w:rPr>
              <w:t>_R</w:t>
            </w:r>
            <w:r>
              <w:rPr>
                <w:rFonts w:ascii="Times New Roman" w:hAnsi="Times New Roman" w:cs="Times New Roman"/>
                <w:sz w:val="16"/>
                <w:szCs w:val="16"/>
              </w:rPr>
              <w:t>ank</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-0.0725***</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-0.0664***</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-0.0642***</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-0.0690***</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-0.0696***</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-0.0686***</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-0.0706***</w:t>
            </w:r>
          </w:p>
        </w:tc>
      </w:tr>
      <w:tr w:rsidR="004201F7" w:rsidRPr="007766C2" w:rsidTr="006358DF">
        <w:trPr>
          <w:jc w:val="center"/>
        </w:trPr>
        <w:tc>
          <w:tcPr>
            <w:tcW w:w="1440" w:type="dxa"/>
            <w:tcBorders>
              <w:top w:val="nil"/>
              <w:left w:val="nil"/>
              <w:bottom w:val="nil"/>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(0.0097)</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(0.0100)</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(0.0114)</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(0.009</w:t>
            </w:r>
            <w:r w:rsidR="003A641B">
              <w:rPr>
                <w:rFonts w:ascii="Times New Roman" w:hAnsi="Times New Roman" w:cs="Times New Roman"/>
                <w:sz w:val="16"/>
                <w:szCs w:val="18"/>
              </w:rPr>
              <w:t>5</w:t>
            </w:r>
            <w:r w:rsidRPr="004201F7">
              <w:rPr>
                <w:rFonts w:ascii="Times New Roman" w:hAnsi="Times New Roman" w:cs="Times New Roman"/>
                <w:sz w:val="16"/>
                <w:szCs w:val="18"/>
              </w:rPr>
              <w:t>)</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(0.0093)</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(0.0101)</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(0.0101)</w:t>
            </w:r>
          </w:p>
        </w:tc>
      </w:tr>
      <w:tr w:rsidR="004201F7" w:rsidRPr="007766C2" w:rsidTr="004201F7">
        <w:trPr>
          <w:jc w:val="center"/>
        </w:trPr>
        <w:tc>
          <w:tcPr>
            <w:tcW w:w="1440" w:type="dxa"/>
            <w:tcBorders>
              <w:top w:val="nil"/>
              <w:left w:val="nil"/>
              <w:bottom w:val="nil"/>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Implicit Tax Rate</w:t>
            </w:r>
            <w:r w:rsidRPr="00EA4DB4">
              <w:rPr>
                <w:rFonts w:ascii="Times New Roman" w:hAnsi="Times New Roman" w:cs="Times New Roman"/>
                <w:sz w:val="16"/>
                <w:szCs w:val="16"/>
              </w:rPr>
              <w:t xml:space="preserve"> ×</w:t>
            </w:r>
            <w:r>
              <w:rPr>
                <w:rFonts w:ascii="Times New Roman" w:hAnsi="Times New Roman" w:cs="Times New Roman"/>
                <w:sz w:val="16"/>
                <w:szCs w:val="16"/>
              </w:rPr>
              <w:t xml:space="preserve"> Q4 Dummy</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0.0259*</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0.0271**</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0.0285**</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0.0184**</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0.0270*</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0.0277**</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0.0265**</w:t>
            </w:r>
          </w:p>
        </w:tc>
      </w:tr>
      <w:tr w:rsidR="004201F7" w:rsidRPr="007766C2" w:rsidTr="00456487">
        <w:trPr>
          <w:trHeight w:val="126"/>
          <w:jc w:val="center"/>
        </w:trPr>
        <w:tc>
          <w:tcPr>
            <w:tcW w:w="1440" w:type="dxa"/>
            <w:tcBorders>
              <w:top w:val="nil"/>
              <w:left w:val="nil"/>
              <w:bottom w:val="nil"/>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(0.0129)</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(0.0132)</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(0.0137)</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(0.008</w:t>
            </w:r>
            <w:r w:rsidR="003A641B">
              <w:rPr>
                <w:rFonts w:ascii="Times New Roman" w:hAnsi="Times New Roman" w:cs="Times New Roman"/>
                <w:sz w:val="16"/>
                <w:szCs w:val="18"/>
              </w:rPr>
              <w:t>9</w:t>
            </w:r>
            <w:r w:rsidRPr="004201F7">
              <w:rPr>
                <w:rFonts w:ascii="Times New Roman" w:hAnsi="Times New Roman" w:cs="Times New Roman"/>
                <w:sz w:val="16"/>
                <w:szCs w:val="18"/>
              </w:rPr>
              <w:t>)</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(0.0138)</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(0.0134)</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(0.0122)</w:t>
            </w:r>
          </w:p>
        </w:tc>
      </w:tr>
      <w:tr w:rsidR="004201F7" w:rsidRPr="007766C2" w:rsidTr="004201F7">
        <w:trPr>
          <w:jc w:val="center"/>
        </w:trPr>
        <w:tc>
          <w:tcPr>
            <w:tcW w:w="1440" w:type="dxa"/>
            <w:tcBorders>
              <w:top w:val="nil"/>
              <w:left w:val="nil"/>
              <w:bottom w:val="nil"/>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Size</w:t>
            </w:r>
            <w:r w:rsidRPr="006E7689">
              <w:rPr>
                <w:rFonts w:ascii="Times New Roman" w:hAnsi="Times New Roman" w:cs="Times New Roman"/>
                <w:sz w:val="16"/>
                <w:szCs w:val="16"/>
              </w:rPr>
              <w:t>_R</w:t>
            </w:r>
            <w:r>
              <w:rPr>
                <w:rFonts w:ascii="Times New Roman" w:hAnsi="Times New Roman" w:cs="Times New Roman"/>
                <w:sz w:val="16"/>
                <w:szCs w:val="16"/>
              </w:rPr>
              <w:t>ank</w:t>
            </w:r>
            <w:r w:rsidRPr="00EA4DB4">
              <w:rPr>
                <w:rFonts w:ascii="Times New Roman" w:hAnsi="Times New Roman" w:cs="Times New Roman"/>
                <w:sz w:val="16"/>
                <w:szCs w:val="16"/>
              </w:rPr>
              <w:t xml:space="preserve"> ×</w:t>
            </w:r>
            <w:r>
              <w:rPr>
                <w:rFonts w:ascii="Times New Roman" w:hAnsi="Times New Roman" w:cs="Times New Roman"/>
                <w:sz w:val="16"/>
                <w:szCs w:val="16"/>
              </w:rPr>
              <w:t xml:space="preserve"> Q4 Dummy</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0.0220**</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0.0128</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0.0108</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0.0228***</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0.0241***</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0.0142</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0.0227**</w:t>
            </w:r>
          </w:p>
        </w:tc>
      </w:tr>
      <w:tr w:rsidR="004201F7" w:rsidRPr="007766C2" w:rsidTr="00456487">
        <w:trPr>
          <w:trHeight w:val="297"/>
          <w:jc w:val="center"/>
        </w:trPr>
        <w:tc>
          <w:tcPr>
            <w:tcW w:w="1440" w:type="dxa"/>
            <w:tcBorders>
              <w:top w:val="nil"/>
              <w:left w:val="nil"/>
              <w:bottom w:val="nil"/>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(0.0096)</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(0.0102)</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(0.0101)</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(0.0079)</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(0.0083)</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(0.0112)</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(0.008</w:t>
            </w:r>
            <w:r w:rsidR="003A641B">
              <w:rPr>
                <w:rFonts w:ascii="Times New Roman" w:hAnsi="Times New Roman" w:cs="Times New Roman"/>
                <w:sz w:val="16"/>
                <w:szCs w:val="18"/>
              </w:rPr>
              <w:t>7</w:t>
            </w:r>
            <w:r w:rsidRPr="004201F7">
              <w:rPr>
                <w:rFonts w:ascii="Times New Roman" w:hAnsi="Times New Roman" w:cs="Times New Roman"/>
                <w:sz w:val="16"/>
                <w:szCs w:val="18"/>
              </w:rPr>
              <w:t>)</w:t>
            </w:r>
          </w:p>
        </w:tc>
      </w:tr>
      <w:tr w:rsidR="004201F7" w:rsidRPr="007766C2" w:rsidTr="006358DF">
        <w:trPr>
          <w:jc w:val="center"/>
        </w:trPr>
        <w:tc>
          <w:tcPr>
            <w:tcW w:w="1440" w:type="dxa"/>
            <w:tcBorders>
              <w:top w:val="nil"/>
              <w:left w:val="nil"/>
              <w:bottom w:val="nil"/>
              <w:right w:val="nil"/>
            </w:tcBorders>
          </w:tcPr>
          <w:p w:rsidR="004201F7" w:rsidRPr="00EA4DB4" w:rsidRDefault="004201F7" w:rsidP="00F70E38">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L</w:t>
            </w:r>
            <w:r w:rsidRPr="00EA4DB4">
              <w:rPr>
                <w:rFonts w:ascii="Times New Roman" w:hAnsi="Times New Roman" w:cs="Times New Roman"/>
                <w:sz w:val="16"/>
                <w:szCs w:val="16"/>
              </w:rPr>
              <w:t>og_GDP</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0.539**</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0.292</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0.395</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0.516*</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0.577**</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0.323</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0.453</w:t>
            </w:r>
          </w:p>
        </w:tc>
      </w:tr>
      <w:tr w:rsidR="004201F7" w:rsidRPr="007766C2" w:rsidTr="006358DF">
        <w:trPr>
          <w:jc w:val="center"/>
        </w:trPr>
        <w:tc>
          <w:tcPr>
            <w:tcW w:w="1440" w:type="dxa"/>
            <w:tcBorders>
              <w:top w:val="nil"/>
              <w:left w:val="nil"/>
              <w:bottom w:val="nil"/>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(0.232)</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(0.318)</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(0.287)</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(0.266)</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(0.215)</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(0.316)</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(0.283)</w:t>
            </w:r>
          </w:p>
        </w:tc>
      </w:tr>
      <w:tr w:rsidR="004201F7" w:rsidRPr="007766C2" w:rsidTr="006358DF">
        <w:trPr>
          <w:jc w:val="center"/>
        </w:trPr>
        <w:tc>
          <w:tcPr>
            <w:tcW w:w="1440" w:type="dxa"/>
            <w:tcBorders>
              <w:top w:val="nil"/>
              <w:left w:val="nil"/>
              <w:bottom w:val="nil"/>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r w:rsidRPr="00EA4DB4">
              <w:rPr>
                <w:rFonts w:ascii="Times New Roman" w:hAnsi="Times New Roman" w:cs="Times New Roman"/>
                <w:sz w:val="16"/>
                <w:szCs w:val="16"/>
              </w:rPr>
              <w:t>GDP_GRO</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0.008</w:t>
            </w:r>
            <w:r w:rsidR="003A641B">
              <w:rPr>
                <w:rFonts w:ascii="Times New Roman" w:hAnsi="Times New Roman" w:cs="Times New Roman"/>
                <w:sz w:val="16"/>
                <w:szCs w:val="18"/>
              </w:rPr>
              <w:t>2</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0.0110</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0.0099</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0.008</w:t>
            </w:r>
            <w:r w:rsidR="003A641B">
              <w:rPr>
                <w:rFonts w:ascii="Times New Roman" w:hAnsi="Times New Roman" w:cs="Times New Roman"/>
                <w:sz w:val="16"/>
                <w:szCs w:val="18"/>
              </w:rPr>
              <w:t>3</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0.00751</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0.00930</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0.00876</w:t>
            </w:r>
          </w:p>
        </w:tc>
      </w:tr>
      <w:tr w:rsidR="004201F7" w:rsidRPr="007766C2" w:rsidTr="006358DF">
        <w:trPr>
          <w:trHeight w:val="306"/>
          <w:jc w:val="center"/>
        </w:trPr>
        <w:tc>
          <w:tcPr>
            <w:tcW w:w="1440" w:type="dxa"/>
            <w:tcBorders>
              <w:top w:val="nil"/>
              <w:left w:val="nil"/>
              <w:bottom w:val="nil"/>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(0.006</w:t>
            </w:r>
            <w:r w:rsidR="003A641B">
              <w:rPr>
                <w:rFonts w:ascii="Times New Roman" w:hAnsi="Times New Roman" w:cs="Times New Roman"/>
                <w:sz w:val="16"/>
                <w:szCs w:val="18"/>
              </w:rPr>
              <w:t>2</w:t>
            </w:r>
            <w:r w:rsidRPr="004201F7">
              <w:rPr>
                <w:rFonts w:ascii="Times New Roman" w:hAnsi="Times New Roman" w:cs="Times New Roman"/>
                <w:sz w:val="16"/>
                <w:szCs w:val="18"/>
              </w:rPr>
              <w:t>)</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(0.0068)</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(0.0069)</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(0.006</w:t>
            </w:r>
            <w:r w:rsidR="003A641B">
              <w:rPr>
                <w:rFonts w:ascii="Times New Roman" w:hAnsi="Times New Roman" w:cs="Times New Roman"/>
                <w:sz w:val="16"/>
                <w:szCs w:val="18"/>
              </w:rPr>
              <w:t>3</w:t>
            </w:r>
            <w:r w:rsidRPr="004201F7">
              <w:rPr>
                <w:rFonts w:ascii="Times New Roman" w:hAnsi="Times New Roman" w:cs="Times New Roman"/>
                <w:sz w:val="16"/>
                <w:szCs w:val="18"/>
              </w:rPr>
              <w:t>)</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(0.005</w:t>
            </w:r>
            <w:r w:rsidR="003A641B">
              <w:rPr>
                <w:rFonts w:ascii="Times New Roman" w:hAnsi="Times New Roman" w:cs="Times New Roman"/>
                <w:sz w:val="16"/>
                <w:szCs w:val="18"/>
              </w:rPr>
              <w:t>5</w:t>
            </w:r>
            <w:r w:rsidRPr="004201F7">
              <w:rPr>
                <w:rFonts w:ascii="Times New Roman" w:hAnsi="Times New Roman" w:cs="Times New Roman"/>
                <w:sz w:val="16"/>
                <w:szCs w:val="18"/>
              </w:rPr>
              <w:t>)</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(0.0066)</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(0.0062)</w:t>
            </w:r>
          </w:p>
        </w:tc>
      </w:tr>
      <w:tr w:rsidR="004201F7" w:rsidRPr="007766C2" w:rsidTr="006358DF">
        <w:trPr>
          <w:jc w:val="center"/>
        </w:trPr>
        <w:tc>
          <w:tcPr>
            <w:tcW w:w="1440" w:type="dxa"/>
            <w:tcBorders>
              <w:top w:val="nil"/>
              <w:left w:val="nil"/>
              <w:bottom w:val="nil"/>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r w:rsidRPr="00EA4DB4">
              <w:rPr>
                <w:rFonts w:ascii="Times New Roman" w:hAnsi="Times New Roman" w:cs="Times New Roman"/>
                <w:sz w:val="16"/>
                <w:szCs w:val="16"/>
              </w:rPr>
              <w:t>INV_RIGHTS</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0.000</w:t>
            </w:r>
            <w:r w:rsidR="003A641B">
              <w:rPr>
                <w:rFonts w:ascii="Times New Roman" w:hAnsi="Times New Roman" w:cs="Times New Roman"/>
                <w:sz w:val="16"/>
                <w:szCs w:val="18"/>
              </w:rPr>
              <w:t>3</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-0.196</w:t>
            </w:r>
          </w:p>
        </w:tc>
      </w:tr>
      <w:tr w:rsidR="004201F7" w:rsidRPr="007766C2" w:rsidTr="006358DF">
        <w:trPr>
          <w:jc w:val="center"/>
        </w:trPr>
        <w:tc>
          <w:tcPr>
            <w:tcW w:w="1440" w:type="dxa"/>
            <w:tcBorders>
              <w:top w:val="nil"/>
              <w:left w:val="nil"/>
              <w:bottom w:val="nil"/>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(0.0179)</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(0.162)</w:t>
            </w:r>
          </w:p>
        </w:tc>
      </w:tr>
      <w:tr w:rsidR="004201F7" w:rsidRPr="007766C2" w:rsidTr="004201F7">
        <w:trPr>
          <w:jc w:val="center"/>
        </w:trPr>
        <w:tc>
          <w:tcPr>
            <w:tcW w:w="1440" w:type="dxa"/>
            <w:tcBorders>
              <w:top w:val="nil"/>
              <w:left w:val="nil"/>
              <w:bottom w:val="nil"/>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r w:rsidRPr="00EA4DB4">
              <w:rPr>
                <w:rFonts w:ascii="Times New Roman" w:hAnsi="Times New Roman" w:cs="Times New Roman"/>
                <w:sz w:val="16"/>
                <w:szCs w:val="16"/>
              </w:rPr>
              <w:t>INV_RIGHTS×</w:t>
            </w:r>
            <w:r>
              <w:rPr>
                <w:rFonts w:ascii="Times New Roman" w:hAnsi="Times New Roman" w:cs="Times New Roman"/>
                <w:sz w:val="16"/>
                <w:szCs w:val="16"/>
              </w:rPr>
              <w:t xml:space="preserve"> Q4 Dummy</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-0.0458***</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-0.265**</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-0.0165</w:t>
            </w:r>
          </w:p>
        </w:tc>
        <w:tc>
          <w:tcPr>
            <w:tcW w:w="1152" w:type="dxa"/>
            <w:tcBorders>
              <w:top w:val="nil"/>
              <w:left w:val="nil"/>
              <w:bottom w:val="nil"/>
              <w:right w:val="nil"/>
            </w:tcBorders>
            <w:vAlign w:val="center"/>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-0.0082***</w:t>
            </w:r>
          </w:p>
        </w:tc>
        <w:tc>
          <w:tcPr>
            <w:tcW w:w="1152" w:type="dxa"/>
            <w:tcBorders>
              <w:top w:val="nil"/>
              <w:left w:val="nil"/>
              <w:bottom w:val="nil"/>
              <w:right w:val="nil"/>
            </w:tcBorders>
            <w:vAlign w:val="center"/>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0.0078***</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-0.136**</w:t>
            </w:r>
          </w:p>
        </w:tc>
        <w:tc>
          <w:tcPr>
            <w:tcW w:w="1152" w:type="dxa"/>
            <w:tcBorders>
              <w:top w:val="nil"/>
              <w:left w:val="nil"/>
              <w:bottom w:val="nil"/>
              <w:right w:val="nil"/>
            </w:tcBorders>
            <w:vAlign w:val="center"/>
          </w:tcPr>
          <w:p w:rsidR="004201F7" w:rsidRPr="004201F7" w:rsidRDefault="004201F7" w:rsidP="004201F7">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-0.142***</w:t>
            </w:r>
          </w:p>
        </w:tc>
      </w:tr>
      <w:tr w:rsidR="004201F7" w:rsidRPr="007766C2" w:rsidTr="006358DF">
        <w:trPr>
          <w:jc w:val="center"/>
        </w:trPr>
        <w:tc>
          <w:tcPr>
            <w:tcW w:w="1440" w:type="dxa"/>
            <w:tcBorders>
              <w:top w:val="nil"/>
              <w:left w:val="nil"/>
              <w:bottom w:val="nil"/>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(0.0116)</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(0.122)</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(0.0122)</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(0.002</w:t>
            </w:r>
            <w:r w:rsidR="003A641B">
              <w:rPr>
                <w:rFonts w:ascii="Times New Roman" w:hAnsi="Times New Roman" w:cs="Times New Roman"/>
                <w:sz w:val="16"/>
                <w:szCs w:val="18"/>
              </w:rPr>
              <w:t>8</w:t>
            </w:r>
            <w:r w:rsidRPr="004201F7">
              <w:rPr>
                <w:rFonts w:ascii="Times New Roman" w:hAnsi="Times New Roman" w:cs="Times New Roman"/>
                <w:sz w:val="16"/>
                <w:szCs w:val="18"/>
              </w:rPr>
              <w:t>)</w:t>
            </w:r>
          </w:p>
        </w:tc>
        <w:tc>
          <w:tcPr>
            <w:tcW w:w="1152" w:type="dxa"/>
            <w:tcBorders>
              <w:top w:val="nil"/>
              <w:left w:val="nil"/>
              <w:bottom w:val="nil"/>
              <w:right w:val="nil"/>
            </w:tcBorders>
          </w:tcPr>
          <w:p w:rsidR="004201F7" w:rsidRPr="004201F7" w:rsidRDefault="004201F7" w:rsidP="003A641B">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(0.0019)</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(0.0526)</w:t>
            </w:r>
          </w:p>
        </w:tc>
        <w:tc>
          <w:tcPr>
            <w:tcW w:w="1152" w:type="dxa"/>
            <w:tcBorders>
              <w:top w:val="nil"/>
              <w:left w:val="nil"/>
              <w:bottom w:val="nil"/>
              <w:right w:val="nil"/>
            </w:tcBorders>
          </w:tcPr>
          <w:p w:rsidR="004201F7" w:rsidRPr="004201F7" w:rsidRDefault="004201F7" w:rsidP="005A07A2">
            <w:pPr>
              <w:widowControl w:val="0"/>
              <w:autoSpaceDE w:val="0"/>
              <w:autoSpaceDN w:val="0"/>
              <w:adjustRightInd w:val="0"/>
              <w:spacing w:after="0" w:line="240" w:lineRule="auto"/>
              <w:jc w:val="center"/>
              <w:rPr>
                <w:rFonts w:ascii="Times New Roman" w:hAnsi="Times New Roman" w:cs="Times New Roman"/>
                <w:sz w:val="16"/>
                <w:szCs w:val="18"/>
              </w:rPr>
            </w:pPr>
            <w:r w:rsidRPr="004201F7">
              <w:rPr>
                <w:rFonts w:ascii="Times New Roman" w:hAnsi="Times New Roman" w:cs="Times New Roman"/>
                <w:sz w:val="16"/>
                <w:szCs w:val="18"/>
              </w:rPr>
              <w:t>(0.0271)</w:t>
            </w:r>
          </w:p>
        </w:tc>
      </w:tr>
      <w:tr w:rsidR="00EA4DB4" w:rsidRPr="007766C2" w:rsidTr="006358DF">
        <w:trPr>
          <w:jc w:val="center"/>
        </w:trPr>
        <w:tc>
          <w:tcPr>
            <w:tcW w:w="1440"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rPr>
                <w:rFonts w:ascii="Times New Roman" w:hAnsi="Times New Roman" w:cs="Times New Roman"/>
                <w:sz w:val="16"/>
                <w:szCs w:val="16"/>
              </w:rPr>
            </w:pP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152" w:type="dxa"/>
            <w:tcBorders>
              <w:top w:val="nil"/>
              <w:left w:val="nil"/>
              <w:bottom w:val="nil"/>
              <w:right w:val="nil"/>
            </w:tcBorders>
          </w:tcPr>
          <w:p w:rsidR="00EA4DB4" w:rsidRPr="00EA4DB4" w:rsidRDefault="00EA4DB4" w:rsidP="00552592">
            <w:pPr>
              <w:widowControl w:val="0"/>
              <w:autoSpaceDE w:val="0"/>
              <w:autoSpaceDN w:val="0"/>
              <w:adjustRightInd w:val="0"/>
              <w:spacing w:after="0" w:line="240" w:lineRule="auto"/>
              <w:jc w:val="center"/>
              <w:rPr>
                <w:rFonts w:ascii="Times New Roman" w:hAnsi="Times New Roman" w:cs="Times New Roman"/>
                <w:sz w:val="16"/>
                <w:szCs w:val="16"/>
              </w:rPr>
            </w:pPr>
          </w:p>
        </w:tc>
        <w:tc>
          <w:tcPr>
            <w:tcW w:w="1152" w:type="dxa"/>
            <w:tcBorders>
              <w:top w:val="nil"/>
              <w:left w:val="nil"/>
              <w:bottom w:val="nil"/>
              <w:right w:val="nil"/>
            </w:tcBorders>
          </w:tcPr>
          <w:p w:rsidR="00EA4DB4" w:rsidRPr="00EA4DB4" w:rsidRDefault="00EA4DB4" w:rsidP="00552592">
            <w:pPr>
              <w:widowControl w:val="0"/>
              <w:autoSpaceDE w:val="0"/>
              <w:autoSpaceDN w:val="0"/>
              <w:adjustRightInd w:val="0"/>
              <w:spacing w:after="0" w:line="240" w:lineRule="auto"/>
              <w:jc w:val="center"/>
              <w:rPr>
                <w:rFonts w:ascii="Times New Roman" w:hAnsi="Times New Roman" w:cs="Times New Roman"/>
                <w:sz w:val="16"/>
                <w:szCs w:val="16"/>
              </w:rPr>
            </w:pPr>
          </w:p>
        </w:tc>
      </w:tr>
      <w:tr w:rsidR="00EA4DB4" w:rsidRPr="007766C2" w:rsidTr="006358DF">
        <w:trPr>
          <w:jc w:val="center"/>
        </w:trPr>
        <w:tc>
          <w:tcPr>
            <w:tcW w:w="1440" w:type="dxa"/>
            <w:tcBorders>
              <w:top w:val="nil"/>
              <w:left w:val="nil"/>
              <w:bottom w:val="nil"/>
              <w:right w:val="nil"/>
            </w:tcBorders>
            <w:vAlign w:val="center"/>
          </w:tcPr>
          <w:p w:rsidR="00EA4DB4" w:rsidRPr="00EA4DB4" w:rsidRDefault="00EA4DB4" w:rsidP="007766C2">
            <w:pPr>
              <w:spacing w:after="0" w:line="240" w:lineRule="auto"/>
              <w:rPr>
                <w:rFonts w:ascii="Times New Roman" w:eastAsia="Times New Roman" w:hAnsi="Times New Roman" w:cs="Times New Roman"/>
                <w:sz w:val="16"/>
                <w:szCs w:val="16"/>
              </w:rPr>
            </w:pPr>
            <w:r w:rsidRPr="00EA4DB4">
              <w:rPr>
                <w:rFonts w:ascii="Times New Roman" w:eastAsia="Times New Roman" w:hAnsi="Times New Roman" w:cs="Times New Roman"/>
                <w:sz w:val="16"/>
                <w:szCs w:val="16"/>
              </w:rPr>
              <w:t>Firm FE</w:t>
            </w: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Yes</w:t>
            </w: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Yes</w:t>
            </w: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Yes</w:t>
            </w: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Yes</w:t>
            </w: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Yes</w:t>
            </w:r>
          </w:p>
        </w:tc>
        <w:tc>
          <w:tcPr>
            <w:tcW w:w="1152" w:type="dxa"/>
            <w:tcBorders>
              <w:top w:val="nil"/>
              <w:left w:val="nil"/>
              <w:bottom w:val="nil"/>
              <w:right w:val="nil"/>
            </w:tcBorders>
          </w:tcPr>
          <w:p w:rsidR="00EA4DB4" w:rsidRPr="00EA4DB4" w:rsidRDefault="00EA4DB4" w:rsidP="0055259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Yes</w:t>
            </w:r>
          </w:p>
        </w:tc>
        <w:tc>
          <w:tcPr>
            <w:tcW w:w="1152" w:type="dxa"/>
            <w:tcBorders>
              <w:top w:val="nil"/>
              <w:left w:val="nil"/>
              <w:bottom w:val="nil"/>
              <w:right w:val="nil"/>
            </w:tcBorders>
          </w:tcPr>
          <w:p w:rsidR="00EA4DB4" w:rsidRPr="00EA4DB4" w:rsidRDefault="00EA4DB4" w:rsidP="0055259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Yes</w:t>
            </w:r>
          </w:p>
        </w:tc>
      </w:tr>
      <w:tr w:rsidR="00EA4DB4" w:rsidRPr="007766C2" w:rsidTr="006358DF">
        <w:trPr>
          <w:jc w:val="center"/>
        </w:trPr>
        <w:tc>
          <w:tcPr>
            <w:tcW w:w="1440" w:type="dxa"/>
            <w:tcBorders>
              <w:top w:val="nil"/>
              <w:left w:val="nil"/>
              <w:bottom w:val="nil"/>
              <w:right w:val="nil"/>
            </w:tcBorders>
            <w:vAlign w:val="center"/>
          </w:tcPr>
          <w:p w:rsidR="00EA4DB4" w:rsidRPr="00EA4DB4" w:rsidRDefault="00EA4DB4" w:rsidP="007766C2">
            <w:pPr>
              <w:spacing w:after="0" w:line="240" w:lineRule="auto"/>
              <w:rPr>
                <w:rFonts w:ascii="Times New Roman" w:eastAsia="Times New Roman" w:hAnsi="Times New Roman" w:cs="Times New Roman"/>
                <w:sz w:val="16"/>
                <w:szCs w:val="16"/>
              </w:rPr>
            </w:pPr>
            <w:r w:rsidRPr="00EA4DB4">
              <w:rPr>
                <w:rFonts w:ascii="Times New Roman" w:eastAsia="Times New Roman" w:hAnsi="Times New Roman" w:cs="Times New Roman"/>
                <w:sz w:val="16"/>
                <w:szCs w:val="16"/>
              </w:rPr>
              <w:t>Industry-Time FE</w:t>
            </w: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Yes</w:t>
            </w: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Yes</w:t>
            </w: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Yes</w:t>
            </w: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Yes</w:t>
            </w:r>
          </w:p>
        </w:tc>
        <w:tc>
          <w:tcPr>
            <w:tcW w:w="1152" w:type="dxa"/>
            <w:tcBorders>
              <w:top w:val="nil"/>
              <w:left w:val="nil"/>
              <w:bottom w:val="nil"/>
              <w:right w:val="nil"/>
            </w:tcBorders>
          </w:tcPr>
          <w:p w:rsidR="00EA4DB4" w:rsidRPr="00EA4DB4" w:rsidRDefault="00EA4DB4" w:rsidP="007766C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Yes</w:t>
            </w:r>
          </w:p>
        </w:tc>
        <w:tc>
          <w:tcPr>
            <w:tcW w:w="1152" w:type="dxa"/>
            <w:tcBorders>
              <w:top w:val="nil"/>
              <w:left w:val="nil"/>
              <w:bottom w:val="nil"/>
              <w:right w:val="nil"/>
            </w:tcBorders>
          </w:tcPr>
          <w:p w:rsidR="00EA4DB4" w:rsidRPr="00EA4DB4" w:rsidRDefault="00EA4DB4" w:rsidP="0055259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Yes</w:t>
            </w:r>
          </w:p>
        </w:tc>
        <w:tc>
          <w:tcPr>
            <w:tcW w:w="1152" w:type="dxa"/>
            <w:tcBorders>
              <w:top w:val="nil"/>
              <w:left w:val="nil"/>
              <w:bottom w:val="nil"/>
              <w:right w:val="nil"/>
            </w:tcBorders>
          </w:tcPr>
          <w:p w:rsidR="00EA4DB4" w:rsidRPr="00EA4DB4" w:rsidRDefault="00EA4DB4" w:rsidP="00552592">
            <w:pPr>
              <w:widowControl w:val="0"/>
              <w:autoSpaceDE w:val="0"/>
              <w:autoSpaceDN w:val="0"/>
              <w:adjustRightInd w:val="0"/>
              <w:spacing w:after="0" w:line="240" w:lineRule="auto"/>
              <w:jc w:val="center"/>
              <w:rPr>
                <w:rFonts w:ascii="Times New Roman" w:hAnsi="Times New Roman" w:cs="Times New Roman"/>
                <w:sz w:val="16"/>
                <w:szCs w:val="16"/>
              </w:rPr>
            </w:pPr>
            <w:r w:rsidRPr="00EA4DB4">
              <w:rPr>
                <w:rFonts w:ascii="Times New Roman" w:hAnsi="Times New Roman" w:cs="Times New Roman"/>
                <w:sz w:val="16"/>
                <w:szCs w:val="16"/>
              </w:rPr>
              <w:t>Yes</w:t>
            </w:r>
          </w:p>
        </w:tc>
      </w:tr>
      <w:tr w:rsidR="004201F7" w:rsidRPr="007766C2" w:rsidTr="006358DF">
        <w:trPr>
          <w:jc w:val="center"/>
        </w:trPr>
        <w:tc>
          <w:tcPr>
            <w:tcW w:w="1440" w:type="dxa"/>
            <w:tcBorders>
              <w:top w:val="nil"/>
              <w:left w:val="nil"/>
              <w:bottom w:val="nil"/>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r w:rsidRPr="00EA4DB4">
              <w:rPr>
                <w:rFonts w:ascii="Times New Roman" w:hAnsi="Times New Roman" w:cs="Times New Roman"/>
                <w:sz w:val="16"/>
                <w:szCs w:val="16"/>
              </w:rPr>
              <w:t>Observations</w:t>
            </w:r>
          </w:p>
        </w:tc>
        <w:tc>
          <w:tcPr>
            <w:tcW w:w="1152" w:type="dxa"/>
            <w:tcBorders>
              <w:top w:val="nil"/>
              <w:left w:val="nil"/>
              <w:bottom w:val="nil"/>
              <w:right w:val="nil"/>
            </w:tcBorders>
          </w:tcPr>
          <w:p w:rsidR="004201F7" w:rsidRPr="00195D43" w:rsidRDefault="004201F7"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199,113</w:t>
            </w:r>
          </w:p>
        </w:tc>
        <w:tc>
          <w:tcPr>
            <w:tcW w:w="1152" w:type="dxa"/>
            <w:tcBorders>
              <w:top w:val="nil"/>
              <w:left w:val="nil"/>
              <w:bottom w:val="nil"/>
              <w:right w:val="nil"/>
            </w:tcBorders>
          </w:tcPr>
          <w:p w:rsidR="004201F7" w:rsidRPr="00195D43" w:rsidRDefault="004201F7"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203,804</w:t>
            </w:r>
          </w:p>
        </w:tc>
        <w:tc>
          <w:tcPr>
            <w:tcW w:w="1152" w:type="dxa"/>
            <w:tcBorders>
              <w:top w:val="nil"/>
              <w:left w:val="nil"/>
              <w:bottom w:val="nil"/>
              <w:right w:val="nil"/>
            </w:tcBorders>
          </w:tcPr>
          <w:p w:rsidR="004201F7" w:rsidRPr="00195D43" w:rsidRDefault="004201F7"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193,659</w:t>
            </w:r>
          </w:p>
        </w:tc>
        <w:tc>
          <w:tcPr>
            <w:tcW w:w="1152" w:type="dxa"/>
            <w:tcBorders>
              <w:top w:val="nil"/>
              <w:left w:val="nil"/>
              <w:bottom w:val="nil"/>
              <w:right w:val="nil"/>
            </w:tcBorders>
          </w:tcPr>
          <w:p w:rsidR="004201F7" w:rsidRPr="00195D43" w:rsidRDefault="004201F7"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191,863</w:t>
            </w:r>
          </w:p>
        </w:tc>
        <w:tc>
          <w:tcPr>
            <w:tcW w:w="1152" w:type="dxa"/>
            <w:tcBorders>
              <w:top w:val="nil"/>
              <w:left w:val="nil"/>
              <w:bottom w:val="nil"/>
              <w:right w:val="nil"/>
            </w:tcBorders>
          </w:tcPr>
          <w:p w:rsidR="004201F7" w:rsidRPr="00195D43" w:rsidRDefault="004201F7"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185,327</w:t>
            </w:r>
          </w:p>
        </w:tc>
        <w:tc>
          <w:tcPr>
            <w:tcW w:w="1152" w:type="dxa"/>
            <w:tcBorders>
              <w:top w:val="nil"/>
              <w:left w:val="nil"/>
              <w:bottom w:val="nil"/>
              <w:right w:val="nil"/>
            </w:tcBorders>
          </w:tcPr>
          <w:p w:rsidR="004201F7" w:rsidRPr="00195D43" w:rsidRDefault="004201F7"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206,601</w:t>
            </w:r>
          </w:p>
        </w:tc>
        <w:tc>
          <w:tcPr>
            <w:tcW w:w="1152" w:type="dxa"/>
            <w:tcBorders>
              <w:top w:val="nil"/>
              <w:left w:val="nil"/>
              <w:bottom w:val="nil"/>
              <w:right w:val="nil"/>
            </w:tcBorders>
          </w:tcPr>
          <w:p w:rsidR="004201F7" w:rsidRPr="00195D43" w:rsidRDefault="004201F7"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206,601</w:t>
            </w:r>
          </w:p>
        </w:tc>
      </w:tr>
      <w:tr w:rsidR="004201F7" w:rsidRPr="007766C2" w:rsidTr="00456487">
        <w:tblPrEx>
          <w:tblBorders>
            <w:bottom w:val="single" w:sz="6" w:space="0" w:color="auto"/>
          </w:tblBorders>
        </w:tblPrEx>
        <w:trPr>
          <w:jc w:val="center"/>
        </w:trPr>
        <w:tc>
          <w:tcPr>
            <w:tcW w:w="1440" w:type="dxa"/>
            <w:tcBorders>
              <w:top w:val="nil"/>
              <w:left w:val="nil"/>
              <w:bottom w:val="double" w:sz="4" w:space="0" w:color="auto"/>
              <w:right w:val="nil"/>
            </w:tcBorders>
          </w:tcPr>
          <w:p w:rsidR="004201F7" w:rsidRPr="00EA4DB4" w:rsidRDefault="004201F7" w:rsidP="007766C2">
            <w:pPr>
              <w:widowControl w:val="0"/>
              <w:autoSpaceDE w:val="0"/>
              <w:autoSpaceDN w:val="0"/>
              <w:adjustRightInd w:val="0"/>
              <w:spacing w:after="0" w:line="240" w:lineRule="auto"/>
              <w:rPr>
                <w:rFonts w:ascii="Times New Roman" w:hAnsi="Times New Roman" w:cs="Times New Roman"/>
                <w:sz w:val="16"/>
                <w:szCs w:val="16"/>
              </w:rPr>
            </w:pPr>
            <w:r w:rsidRPr="00EA4DB4">
              <w:rPr>
                <w:rFonts w:ascii="Times New Roman" w:hAnsi="Times New Roman" w:cs="Times New Roman"/>
                <w:sz w:val="16"/>
                <w:szCs w:val="16"/>
              </w:rPr>
              <w:t>R-squared</w:t>
            </w:r>
          </w:p>
        </w:tc>
        <w:tc>
          <w:tcPr>
            <w:tcW w:w="1152" w:type="dxa"/>
            <w:tcBorders>
              <w:top w:val="nil"/>
              <w:left w:val="nil"/>
              <w:bottom w:val="double" w:sz="4" w:space="0" w:color="auto"/>
              <w:right w:val="nil"/>
            </w:tcBorders>
          </w:tcPr>
          <w:p w:rsidR="004201F7" w:rsidRPr="00195D43" w:rsidRDefault="004201F7"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0.589</w:t>
            </w:r>
          </w:p>
        </w:tc>
        <w:tc>
          <w:tcPr>
            <w:tcW w:w="1152" w:type="dxa"/>
            <w:tcBorders>
              <w:top w:val="nil"/>
              <w:left w:val="nil"/>
              <w:bottom w:val="double" w:sz="4" w:space="0" w:color="auto"/>
              <w:right w:val="nil"/>
            </w:tcBorders>
          </w:tcPr>
          <w:p w:rsidR="004201F7" w:rsidRPr="00195D43" w:rsidRDefault="004201F7"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0.586</w:t>
            </w:r>
          </w:p>
        </w:tc>
        <w:tc>
          <w:tcPr>
            <w:tcW w:w="1152" w:type="dxa"/>
            <w:tcBorders>
              <w:top w:val="nil"/>
              <w:left w:val="nil"/>
              <w:bottom w:val="double" w:sz="4" w:space="0" w:color="auto"/>
              <w:right w:val="nil"/>
            </w:tcBorders>
          </w:tcPr>
          <w:p w:rsidR="004201F7" w:rsidRPr="00195D43" w:rsidRDefault="004201F7"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0.588</w:t>
            </w:r>
          </w:p>
        </w:tc>
        <w:tc>
          <w:tcPr>
            <w:tcW w:w="1152" w:type="dxa"/>
            <w:tcBorders>
              <w:top w:val="nil"/>
              <w:left w:val="nil"/>
              <w:bottom w:val="double" w:sz="4" w:space="0" w:color="auto"/>
              <w:right w:val="nil"/>
            </w:tcBorders>
          </w:tcPr>
          <w:p w:rsidR="004201F7" w:rsidRPr="00195D43" w:rsidRDefault="004201F7"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0.596</w:t>
            </w:r>
          </w:p>
        </w:tc>
        <w:tc>
          <w:tcPr>
            <w:tcW w:w="1152" w:type="dxa"/>
            <w:tcBorders>
              <w:top w:val="nil"/>
              <w:left w:val="nil"/>
              <w:bottom w:val="double" w:sz="4" w:space="0" w:color="auto"/>
              <w:right w:val="nil"/>
            </w:tcBorders>
          </w:tcPr>
          <w:p w:rsidR="004201F7" w:rsidRPr="00195D43" w:rsidRDefault="004201F7"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0.597</w:t>
            </w:r>
          </w:p>
        </w:tc>
        <w:tc>
          <w:tcPr>
            <w:tcW w:w="1152" w:type="dxa"/>
            <w:tcBorders>
              <w:top w:val="nil"/>
              <w:left w:val="nil"/>
              <w:bottom w:val="double" w:sz="4" w:space="0" w:color="auto"/>
              <w:right w:val="nil"/>
            </w:tcBorders>
          </w:tcPr>
          <w:p w:rsidR="004201F7" w:rsidRPr="00195D43" w:rsidRDefault="004201F7"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0.584</w:t>
            </w:r>
          </w:p>
        </w:tc>
        <w:tc>
          <w:tcPr>
            <w:tcW w:w="1152" w:type="dxa"/>
            <w:tcBorders>
              <w:top w:val="nil"/>
              <w:left w:val="nil"/>
              <w:bottom w:val="double" w:sz="4" w:space="0" w:color="auto"/>
              <w:right w:val="nil"/>
            </w:tcBorders>
          </w:tcPr>
          <w:p w:rsidR="004201F7" w:rsidRPr="00195D43" w:rsidRDefault="004201F7"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0.584</w:t>
            </w:r>
          </w:p>
        </w:tc>
      </w:tr>
    </w:tbl>
    <w:p w:rsidR="007766C2" w:rsidRDefault="007766C2" w:rsidP="00821BD4">
      <w:pPr>
        <w:spacing w:after="120" w:line="240" w:lineRule="auto"/>
        <w:ind w:firstLine="288"/>
        <w:rPr>
          <w:rFonts w:ascii="Times New Roman" w:hAnsi="Times New Roman" w:cs="Times New Roman"/>
          <w:sz w:val="16"/>
        </w:rPr>
      </w:pPr>
    </w:p>
    <w:p w:rsidR="003F0CA6" w:rsidRDefault="003F0CA6">
      <w:pPr>
        <w:rPr>
          <w:rFonts w:ascii="Times New Roman" w:hAnsi="Times New Roman" w:cs="Times New Roman"/>
          <w:sz w:val="16"/>
        </w:rPr>
      </w:pPr>
      <w:r>
        <w:rPr>
          <w:rFonts w:ascii="Times New Roman" w:hAnsi="Times New Roman" w:cs="Times New Roman"/>
          <w:sz w:val="16"/>
        </w:rPr>
        <w:br w:type="page"/>
      </w:r>
    </w:p>
    <w:p w:rsidR="003F0CA6" w:rsidRDefault="003F0CA6" w:rsidP="003F0CA6">
      <w:pPr>
        <w:spacing w:after="120" w:line="240" w:lineRule="auto"/>
        <w:ind w:firstLine="288"/>
        <w:jc w:val="both"/>
        <w:rPr>
          <w:rFonts w:ascii="Times New Roman" w:hAnsi="Times New Roman" w:cs="Times New Roman"/>
          <w:sz w:val="16"/>
        </w:rPr>
      </w:pPr>
      <w:r w:rsidRPr="00EE1141">
        <w:rPr>
          <w:rFonts w:ascii="Times New Roman" w:hAnsi="Times New Roman" w:cs="Times New Roman"/>
          <w:sz w:val="16"/>
        </w:rPr>
        <w:lastRenderedPageBreak/>
        <w:t xml:space="preserve">Panel </w:t>
      </w:r>
      <w:r>
        <w:rPr>
          <w:rFonts w:ascii="Times New Roman" w:hAnsi="Times New Roman" w:cs="Times New Roman"/>
          <w:sz w:val="16"/>
        </w:rPr>
        <w:t>B reports</w:t>
      </w:r>
      <w:r w:rsidRPr="00EE1141">
        <w:rPr>
          <w:rFonts w:ascii="Times New Roman" w:hAnsi="Times New Roman" w:cs="Times New Roman"/>
          <w:sz w:val="16"/>
        </w:rPr>
        <w:t xml:space="preserve"> results</w:t>
      </w:r>
      <w:r>
        <w:rPr>
          <w:rFonts w:ascii="Times New Roman" w:hAnsi="Times New Roman" w:cs="Times New Roman"/>
          <w:sz w:val="16"/>
        </w:rPr>
        <w:t xml:space="preserve"> from the same regression specifications as in Panel A but only in the non-US subsample.</w:t>
      </w:r>
    </w:p>
    <w:tbl>
      <w:tblPr>
        <w:tblW w:w="8468" w:type="dxa"/>
        <w:jc w:val="center"/>
        <w:tblLayout w:type="fixed"/>
        <w:tblCellMar>
          <w:left w:w="75" w:type="dxa"/>
          <w:right w:w="75" w:type="dxa"/>
        </w:tblCellMar>
        <w:tblLook w:val="0000" w:firstRow="0" w:lastRow="0" w:firstColumn="0" w:lastColumn="0" w:noHBand="0" w:noVBand="0"/>
      </w:tblPr>
      <w:tblGrid>
        <w:gridCol w:w="1444"/>
        <w:gridCol w:w="928"/>
        <w:gridCol w:w="1016"/>
        <w:gridCol w:w="1016"/>
        <w:gridCol w:w="1016"/>
        <w:gridCol w:w="1016"/>
        <w:gridCol w:w="1016"/>
        <w:gridCol w:w="1016"/>
      </w:tblGrid>
      <w:tr w:rsidR="000277B2" w:rsidRPr="007766C2" w:rsidTr="000928AC">
        <w:trPr>
          <w:trHeight w:val="350"/>
          <w:jc w:val="center"/>
        </w:trPr>
        <w:tc>
          <w:tcPr>
            <w:tcW w:w="8468" w:type="dxa"/>
            <w:gridSpan w:val="8"/>
            <w:tcBorders>
              <w:top w:val="double" w:sz="4" w:space="0" w:color="auto"/>
              <w:left w:val="nil"/>
              <w:right w:val="nil"/>
            </w:tcBorders>
            <w:vAlign w:val="center"/>
          </w:tcPr>
          <w:p w:rsidR="000277B2" w:rsidRPr="007766C2" w:rsidRDefault="000277B2" w:rsidP="000277B2">
            <w:pPr>
              <w:widowControl w:val="0"/>
              <w:autoSpaceDE w:val="0"/>
              <w:autoSpaceDN w:val="0"/>
              <w:adjustRightInd w:val="0"/>
              <w:spacing w:after="0" w:line="240" w:lineRule="auto"/>
              <w:jc w:val="center"/>
              <w:rPr>
                <w:rFonts w:ascii="Times New Roman" w:hAnsi="Times New Roman" w:cs="Times New Roman"/>
                <w:sz w:val="16"/>
                <w:szCs w:val="24"/>
              </w:rPr>
            </w:pPr>
            <w:r w:rsidRPr="007766C2">
              <w:rPr>
                <w:rFonts w:ascii="Times New Roman" w:hAnsi="Times New Roman" w:cs="Times New Roman"/>
                <w:sz w:val="18"/>
                <w:szCs w:val="24"/>
              </w:rPr>
              <w:t xml:space="preserve">Panel </w:t>
            </w:r>
            <w:r>
              <w:rPr>
                <w:rFonts w:ascii="Times New Roman" w:hAnsi="Times New Roman" w:cs="Times New Roman"/>
                <w:sz w:val="18"/>
                <w:szCs w:val="24"/>
              </w:rPr>
              <w:t>B</w:t>
            </w:r>
            <w:r w:rsidRPr="007766C2">
              <w:rPr>
                <w:rFonts w:ascii="Times New Roman" w:hAnsi="Times New Roman" w:cs="Times New Roman"/>
                <w:sz w:val="18"/>
                <w:szCs w:val="24"/>
              </w:rPr>
              <w:t>: Investor Rights and Protections</w:t>
            </w:r>
            <w:r w:rsidR="00E07AF8">
              <w:rPr>
                <w:rFonts w:ascii="Times New Roman" w:hAnsi="Times New Roman" w:cs="Times New Roman"/>
                <w:sz w:val="18"/>
                <w:szCs w:val="24"/>
              </w:rPr>
              <w:t xml:space="preserve"> and legal system</w:t>
            </w:r>
            <w:r>
              <w:rPr>
                <w:rFonts w:ascii="Times New Roman" w:hAnsi="Times New Roman" w:cs="Times New Roman"/>
                <w:sz w:val="18"/>
                <w:szCs w:val="24"/>
              </w:rPr>
              <w:t xml:space="preserve"> (INV_RIGHTS) – Non-US Subsample</w:t>
            </w:r>
          </w:p>
        </w:tc>
      </w:tr>
      <w:tr w:rsidR="000277B2" w:rsidRPr="007766C2" w:rsidTr="000928AC">
        <w:trPr>
          <w:jc w:val="center"/>
        </w:trPr>
        <w:tc>
          <w:tcPr>
            <w:tcW w:w="1444" w:type="dxa"/>
            <w:tcBorders>
              <w:left w:val="nil"/>
              <w:bottom w:val="single" w:sz="6" w:space="0" w:color="auto"/>
              <w:right w:val="nil"/>
            </w:tcBorders>
          </w:tcPr>
          <w:p w:rsidR="000277B2" w:rsidRPr="000277B2" w:rsidRDefault="00050F48" w:rsidP="00552592">
            <w:pPr>
              <w:widowControl w:val="0"/>
              <w:autoSpaceDE w:val="0"/>
              <w:autoSpaceDN w:val="0"/>
              <w:adjustRightInd w:val="0"/>
              <w:spacing w:after="0" w:line="240" w:lineRule="auto"/>
              <w:rPr>
                <w:rFonts w:ascii="Times New Roman" w:hAnsi="Times New Roman" w:cs="Times New Roman"/>
                <w:sz w:val="16"/>
                <w:szCs w:val="16"/>
              </w:rPr>
            </w:pPr>
            <w:r w:rsidRPr="00050F48">
              <w:rPr>
                <w:rFonts w:ascii="Times New Roman" w:hAnsi="Times New Roman" w:cs="Times New Roman"/>
                <w:sz w:val="18"/>
                <w:szCs w:val="16"/>
              </w:rPr>
              <w:t>Variables</w:t>
            </w:r>
          </w:p>
        </w:tc>
        <w:tc>
          <w:tcPr>
            <w:tcW w:w="928" w:type="dxa"/>
            <w:tcBorders>
              <w:left w:val="nil"/>
              <w:bottom w:val="single" w:sz="6" w:space="0" w:color="auto"/>
              <w:right w:val="nil"/>
            </w:tcBorders>
          </w:tcPr>
          <w:p w:rsidR="000277B2" w:rsidRPr="000277B2" w:rsidRDefault="000277B2"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AD</w:t>
            </w:r>
          </w:p>
        </w:tc>
        <w:tc>
          <w:tcPr>
            <w:tcW w:w="1016" w:type="dxa"/>
            <w:tcBorders>
              <w:left w:val="nil"/>
              <w:bottom w:val="single" w:sz="6" w:space="0" w:color="auto"/>
              <w:right w:val="nil"/>
            </w:tcBorders>
          </w:tcPr>
          <w:p w:rsidR="000277B2" w:rsidRPr="000277B2" w:rsidRDefault="000277B2"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AS</w:t>
            </w:r>
          </w:p>
        </w:tc>
        <w:tc>
          <w:tcPr>
            <w:tcW w:w="1016" w:type="dxa"/>
            <w:tcBorders>
              <w:left w:val="nil"/>
              <w:bottom w:val="single" w:sz="6" w:space="0" w:color="auto"/>
              <w:right w:val="nil"/>
            </w:tcBorders>
          </w:tcPr>
          <w:p w:rsidR="000277B2" w:rsidRPr="000277B2" w:rsidRDefault="000277B2"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DISC</w:t>
            </w:r>
          </w:p>
        </w:tc>
        <w:tc>
          <w:tcPr>
            <w:tcW w:w="1016" w:type="dxa"/>
            <w:tcBorders>
              <w:left w:val="nil"/>
              <w:bottom w:val="single" w:sz="6" w:space="0" w:color="auto"/>
              <w:right w:val="nil"/>
            </w:tcBorders>
          </w:tcPr>
          <w:p w:rsidR="000277B2" w:rsidRPr="000277B2" w:rsidRDefault="000277B2"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ACCT</w:t>
            </w:r>
          </w:p>
        </w:tc>
        <w:tc>
          <w:tcPr>
            <w:tcW w:w="1016" w:type="dxa"/>
            <w:tcBorders>
              <w:left w:val="nil"/>
              <w:bottom w:val="single" w:sz="6" w:space="0" w:color="auto"/>
              <w:right w:val="nil"/>
            </w:tcBorders>
          </w:tcPr>
          <w:p w:rsidR="000277B2" w:rsidRPr="000277B2" w:rsidRDefault="000277B2"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EM</w:t>
            </w:r>
          </w:p>
        </w:tc>
        <w:tc>
          <w:tcPr>
            <w:tcW w:w="1016" w:type="dxa"/>
            <w:tcBorders>
              <w:left w:val="nil"/>
              <w:bottom w:val="single" w:sz="6" w:space="0" w:color="auto"/>
              <w:right w:val="nil"/>
            </w:tcBorders>
          </w:tcPr>
          <w:p w:rsidR="000277B2" w:rsidRPr="000277B2" w:rsidRDefault="000277B2"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UK</w:t>
            </w:r>
          </w:p>
        </w:tc>
        <w:tc>
          <w:tcPr>
            <w:tcW w:w="1016" w:type="dxa"/>
            <w:tcBorders>
              <w:left w:val="nil"/>
              <w:bottom w:val="single" w:sz="6" w:space="0" w:color="auto"/>
              <w:right w:val="nil"/>
            </w:tcBorders>
          </w:tcPr>
          <w:p w:rsidR="000277B2" w:rsidRPr="000277B2" w:rsidRDefault="000277B2"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RULE</w:t>
            </w:r>
          </w:p>
        </w:tc>
      </w:tr>
      <w:tr w:rsidR="000277B2" w:rsidRPr="007766C2" w:rsidTr="00456487">
        <w:trPr>
          <w:jc w:val="center"/>
        </w:trPr>
        <w:tc>
          <w:tcPr>
            <w:tcW w:w="1444" w:type="dxa"/>
            <w:tcBorders>
              <w:top w:val="nil"/>
              <w:left w:val="nil"/>
              <w:bottom w:val="nil"/>
              <w:right w:val="nil"/>
            </w:tcBorders>
          </w:tcPr>
          <w:p w:rsidR="000277B2" w:rsidRPr="000277B2" w:rsidRDefault="000277B2" w:rsidP="00552592">
            <w:pPr>
              <w:widowControl w:val="0"/>
              <w:autoSpaceDE w:val="0"/>
              <w:autoSpaceDN w:val="0"/>
              <w:adjustRightInd w:val="0"/>
              <w:spacing w:after="0" w:line="240" w:lineRule="auto"/>
              <w:rPr>
                <w:rFonts w:ascii="Times New Roman" w:hAnsi="Times New Roman" w:cs="Times New Roman"/>
                <w:sz w:val="16"/>
                <w:szCs w:val="16"/>
              </w:rPr>
            </w:pPr>
          </w:p>
        </w:tc>
        <w:tc>
          <w:tcPr>
            <w:tcW w:w="928" w:type="dxa"/>
            <w:tcBorders>
              <w:top w:val="nil"/>
              <w:left w:val="nil"/>
              <w:bottom w:val="nil"/>
              <w:right w:val="nil"/>
            </w:tcBorders>
          </w:tcPr>
          <w:p w:rsidR="000277B2" w:rsidRPr="000277B2" w:rsidRDefault="000277B2" w:rsidP="00552592">
            <w:pPr>
              <w:widowControl w:val="0"/>
              <w:autoSpaceDE w:val="0"/>
              <w:autoSpaceDN w:val="0"/>
              <w:adjustRightInd w:val="0"/>
              <w:spacing w:after="0" w:line="240" w:lineRule="auto"/>
              <w:jc w:val="center"/>
              <w:rPr>
                <w:rFonts w:ascii="Times New Roman" w:hAnsi="Times New Roman" w:cs="Times New Roman"/>
                <w:sz w:val="16"/>
                <w:szCs w:val="16"/>
              </w:rPr>
            </w:pPr>
          </w:p>
        </w:tc>
        <w:tc>
          <w:tcPr>
            <w:tcW w:w="1016" w:type="dxa"/>
            <w:tcBorders>
              <w:top w:val="nil"/>
              <w:left w:val="nil"/>
              <w:bottom w:val="nil"/>
              <w:right w:val="nil"/>
            </w:tcBorders>
          </w:tcPr>
          <w:p w:rsidR="000277B2" w:rsidRPr="000277B2" w:rsidRDefault="000277B2" w:rsidP="00552592">
            <w:pPr>
              <w:widowControl w:val="0"/>
              <w:autoSpaceDE w:val="0"/>
              <w:autoSpaceDN w:val="0"/>
              <w:adjustRightInd w:val="0"/>
              <w:spacing w:after="0" w:line="240" w:lineRule="auto"/>
              <w:jc w:val="center"/>
              <w:rPr>
                <w:rFonts w:ascii="Times New Roman" w:hAnsi="Times New Roman" w:cs="Times New Roman"/>
                <w:sz w:val="16"/>
                <w:szCs w:val="16"/>
              </w:rPr>
            </w:pPr>
          </w:p>
        </w:tc>
        <w:tc>
          <w:tcPr>
            <w:tcW w:w="1016" w:type="dxa"/>
            <w:tcBorders>
              <w:top w:val="nil"/>
              <w:left w:val="nil"/>
              <w:bottom w:val="nil"/>
              <w:right w:val="nil"/>
            </w:tcBorders>
          </w:tcPr>
          <w:p w:rsidR="000277B2" w:rsidRPr="000277B2" w:rsidRDefault="000277B2" w:rsidP="00552592">
            <w:pPr>
              <w:widowControl w:val="0"/>
              <w:autoSpaceDE w:val="0"/>
              <w:autoSpaceDN w:val="0"/>
              <w:adjustRightInd w:val="0"/>
              <w:spacing w:after="0" w:line="240" w:lineRule="auto"/>
              <w:jc w:val="center"/>
              <w:rPr>
                <w:rFonts w:ascii="Times New Roman" w:hAnsi="Times New Roman" w:cs="Times New Roman"/>
                <w:sz w:val="16"/>
                <w:szCs w:val="16"/>
              </w:rPr>
            </w:pPr>
          </w:p>
        </w:tc>
        <w:tc>
          <w:tcPr>
            <w:tcW w:w="1016" w:type="dxa"/>
            <w:tcBorders>
              <w:top w:val="nil"/>
              <w:left w:val="nil"/>
              <w:bottom w:val="nil"/>
              <w:right w:val="nil"/>
            </w:tcBorders>
          </w:tcPr>
          <w:p w:rsidR="000277B2" w:rsidRPr="000277B2" w:rsidRDefault="000277B2" w:rsidP="00552592">
            <w:pPr>
              <w:widowControl w:val="0"/>
              <w:autoSpaceDE w:val="0"/>
              <w:autoSpaceDN w:val="0"/>
              <w:adjustRightInd w:val="0"/>
              <w:spacing w:after="0" w:line="240" w:lineRule="auto"/>
              <w:jc w:val="center"/>
              <w:rPr>
                <w:rFonts w:ascii="Times New Roman" w:hAnsi="Times New Roman" w:cs="Times New Roman"/>
                <w:sz w:val="16"/>
                <w:szCs w:val="16"/>
              </w:rPr>
            </w:pPr>
          </w:p>
        </w:tc>
        <w:tc>
          <w:tcPr>
            <w:tcW w:w="1016" w:type="dxa"/>
            <w:tcBorders>
              <w:top w:val="nil"/>
              <w:left w:val="nil"/>
              <w:bottom w:val="nil"/>
              <w:right w:val="nil"/>
            </w:tcBorders>
          </w:tcPr>
          <w:p w:rsidR="000277B2" w:rsidRPr="000277B2" w:rsidRDefault="000277B2" w:rsidP="00552592">
            <w:pPr>
              <w:widowControl w:val="0"/>
              <w:autoSpaceDE w:val="0"/>
              <w:autoSpaceDN w:val="0"/>
              <w:adjustRightInd w:val="0"/>
              <w:spacing w:after="0" w:line="240" w:lineRule="auto"/>
              <w:jc w:val="center"/>
              <w:rPr>
                <w:rFonts w:ascii="Times New Roman" w:hAnsi="Times New Roman" w:cs="Times New Roman"/>
                <w:sz w:val="16"/>
                <w:szCs w:val="16"/>
              </w:rPr>
            </w:pPr>
          </w:p>
        </w:tc>
        <w:tc>
          <w:tcPr>
            <w:tcW w:w="1016" w:type="dxa"/>
            <w:tcBorders>
              <w:top w:val="nil"/>
              <w:left w:val="nil"/>
              <w:bottom w:val="nil"/>
              <w:right w:val="nil"/>
            </w:tcBorders>
          </w:tcPr>
          <w:p w:rsidR="000277B2" w:rsidRPr="000277B2" w:rsidRDefault="000277B2" w:rsidP="00552592">
            <w:pPr>
              <w:widowControl w:val="0"/>
              <w:autoSpaceDE w:val="0"/>
              <w:autoSpaceDN w:val="0"/>
              <w:adjustRightInd w:val="0"/>
              <w:spacing w:after="0" w:line="240" w:lineRule="auto"/>
              <w:jc w:val="center"/>
              <w:rPr>
                <w:rFonts w:ascii="Times New Roman" w:hAnsi="Times New Roman" w:cs="Times New Roman"/>
                <w:sz w:val="16"/>
                <w:szCs w:val="16"/>
              </w:rPr>
            </w:pPr>
          </w:p>
        </w:tc>
        <w:tc>
          <w:tcPr>
            <w:tcW w:w="1016" w:type="dxa"/>
            <w:tcBorders>
              <w:top w:val="nil"/>
              <w:left w:val="nil"/>
              <w:bottom w:val="nil"/>
              <w:right w:val="nil"/>
            </w:tcBorders>
          </w:tcPr>
          <w:p w:rsidR="000277B2" w:rsidRPr="000277B2" w:rsidRDefault="000277B2" w:rsidP="00552592">
            <w:pPr>
              <w:widowControl w:val="0"/>
              <w:autoSpaceDE w:val="0"/>
              <w:autoSpaceDN w:val="0"/>
              <w:adjustRightInd w:val="0"/>
              <w:spacing w:after="0" w:line="240" w:lineRule="auto"/>
              <w:jc w:val="center"/>
              <w:rPr>
                <w:rFonts w:ascii="Times New Roman" w:hAnsi="Times New Roman" w:cs="Times New Roman"/>
                <w:sz w:val="16"/>
                <w:szCs w:val="16"/>
              </w:rPr>
            </w:pPr>
          </w:p>
        </w:tc>
      </w:tr>
      <w:tr w:rsidR="000A5021" w:rsidRPr="007766C2" w:rsidTr="00456487">
        <w:trPr>
          <w:jc w:val="center"/>
        </w:trPr>
        <w:tc>
          <w:tcPr>
            <w:tcW w:w="1444" w:type="dxa"/>
            <w:tcBorders>
              <w:top w:val="nil"/>
              <w:left w:val="nil"/>
              <w:bottom w:val="nil"/>
              <w:right w:val="nil"/>
            </w:tcBorders>
          </w:tcPr>
          <w:p w:rsidR="000A5021" w:rsidRPr="00EA4DB4" w:rsidRDefault="000A5021" w:rsidP="0049152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Q4 Dummy</w:t>
            </w:r>
          </w:p>
        </w:tc>
        <w:tc>
          <w:tcPr>
            <w:tcW w:w="928"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0.311***</w:t>
            </w:r>
          </w:p>
        </w:tc>
        <w:tc>
          <w:tcPr>
            <w:tcW w:w="101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0.343***</w:t>
            </w:r>
          </w:p>
        </w:tc>
        <w:tc>
          <w:tcPr>
            <w:tcW w:w="101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0.349***</w:t>
            </w:r>
          </w:p>
        </w:tc>
        <w:tc>
          <w:tcPr>
            <w:tcW w:w="101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0.653***</w:t>
            </w:r>
          </w:p>
        </w:tc>
        <w:tc>
          <w:tcPr>
            <w:tcW w:w="101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0.0125</w:t>
            </w:r>
          </w:p>
        </w:tc>
        <w:tc>
          <w:tcPr>
            <w:tcW w:w="101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0.259***</w:t>
            </w:r>
          </w:p>
        </w:tc>
        <w:tc>
          <w:tcPr>
            <w:tcW w:w="101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0.322***</w:t>
            </w:r>
          </w:p>
        </w:tc>
      </w:tr>
      <w:tr w:rsidR="000A5021" w:rsidRPr="007766C2" w:rsidTr="000A5021">
        <w:trPr>
          <w:trHeight w:val="243"/>
          <w:jc w:val="center"/>
        </w:trPr>
        <w:tc>
          <w:tcPr>
            <w:tcW w:w="1444" w:type="dxa"/>
            <w:tcBorders>
              <w:top w:val="nil"/>
              <w:left w:val="nil"/>
              <w:bottom w:val="nil"/>
              <w:right w:val="nil"/>
            </w:tcBorders>
          </w:tcPr>
          <w:p w:rsidR="000A5021" w:rsidRPr="00EA4DB4" w:rsidRDefault="000A5021" w:rsidP="00491524">
            <w:pPr>
              <w:widowControl w:val="0"/>
              <w:autoSpaceDE w:val="0"/>
              <w:autoSpaceDN w:val="0"/>
              <w:adjustRightInd w:val="0"/>
              <w:spacing w:after="0" w:line="240" w:lineRule="auto"/>
              <w:rPr>
                <w:rFonts w:ascii="Times New Roman" w:hAnsi="Times New Roman" w:cs="Times New Roman"/>
                <w:sz w:val="16"/>
                <w:szCs w:val="16"/>
              </w:rPr>
            </w:pPr>
          </w:p>
        </w:tc>
        <w:tc>
          <w:tcPr>
            <w:tcW w:w="928"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(0.0680)</w:t>
            </w:r>
          </w:p>
        </w:tc>
        <w:tc>
          <w:tcPr>
            <w:tcW w:w="101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(0.0866)</w:t>
            </w:r>
          </w:p>
        </w:tc>
        <w:tc>
          <w:tcPr>
            <w:tcW w:w="101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(0.103)</w:t>
            </w:r>
          </w:p>
        </w:tc>
        <w:tc>
          <w:tcPr>
            <w:tcW w:w="101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(0.176)</w:t>
            </w:r>
          </w:p>
        </w:tc>
        <w:tc>
          <w:tcPr>
            <w:tcW w:w="101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(0.0503)</w:t>
            </w:r>
          </w:p>
        </w:tc>
        <w:tc>
          <w:tcPr>
            <w:tcW w:w="101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(0.0564)</w:t>
            </w:r>
          </w:p>
        </w:tc>
        <w:tc>
          <w:tcPr>
            <w:tcW w:w="101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(0.0505)</w:t>
            </w:r>
          </w:p>
        </w:tc>
      </w:tr>
      <w:tr w:rsidR="000A5021" w:rsidRPr="007766C2" w:rsidTr="00456487">
        <w:trPr>
          <w:jc w:val="center"/>
        </w:trPr>
        <w:tc>
          <w:tcPr>
            <w:tcW w:w="1444"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rPr>
                <w:rFonts w:ascii="Times New Roman" w:hAnsi="Times New Roman" w:cs="Times New Roman"/>
                <w:sz w:val="16"/>
                <w:szCs w:val="16"/>
              </w:rPr>
            </w:pPr>
            <w:r w:rsidRPr="000277B2">
              <w:rPr>
                <w:rFonts w:ascii="Times New Roman" w:hAnsi="Times New Roman" w:cs="Times New Roman"/>
                <w:sz w:val="16"/>
                <w:szCs w:val="16"/>
              </w:rPr>
              <w:t>INV_RIGHTS</w:t>
            </w:r>
          </w:p>
        </w:tc>
        <w:tc>
          <w:tcPr>
            <w:tcW w:w="928"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0.0267**</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-0.149</w:t>
            </w:r>
          </w:p>
        </w:tc>
      </w:tr>
      <w:tr w:rsidR="000A5021" w:rsidRPr="007766C2" w:rsidTr="00F27DF1">
        <w:trPr>
          <w:trHeight w:val="225"/>
          <w:jc w:val="center"/>
        </w:trPr>
        <w:tc>
          <w:tcPr>
            <w:tcW w:w="1444"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rPr>
                <w:rFonts w:ascii="Times New Roman" w:hAnsi="Times New Roman" w:cs="Times New Roman"/>
                <w:sz w:val="16"/>
                <w:szCs w:val="16"/>
              </w:rPr>
            </w:pPr>
          </w:p>
        </w:tc>
        <w:tc>
          <w:tcPr>
            <w:tcW w:w="928"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(0.0110)</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(0.160)</w:t>
            </w:r>
          </w:p>
        </w:tc>
      </w:tr>
      <w:tr w:rsidR="000A5021" w:rsidRPr="007766C2" w:rsidTr="004201F7">
        <w:trPr>
          <w:jc w:val="center"/>
        </w:trPr>
        <w:tc>
          <w:tcPr>
            <w:tcW w:w="1444" w:type="dxa"/>
            <w:tcBorders>
              <w:top w:val="nil"/>
              <w:left w:val="nil"/>
              <w:bottom w:val="nil"/>
              <w:right w:val="nil"/>
            </w:tcBorders>
          </w:tcPr>
          <w:p w:rsidR="000A5021" w:rsidRPr="000277B2" w:rsidRDefault="000A5021" w:rsidP="004E3829">
            <w:pPr>
              <w:widowControl w:val="0"/>
              <w:autoSpaceDE w:val="0"/>
              <w:autoSpaceDN w:val="0"/>
              <w:adjustRightInd w:val="0"/>
              <w:spacing w:after="0" w:line="240" w:lineRule="auto"/>
              <w:rPr>
                <w:rFonts w:ascii="Times New Roman" w:hAnsi="Times New Roman" w:cs="Times New Roman"/>
                <w:sz w:val="16"/>
                <w:szCs w:val="16"/>
              </w:rPr>
            </w:pPr>
            <w:r w:rsidRPr="000277B2">
              <w:rPr>
                <w:rFonts w:ascii="Times New Roman" w:hAnsi="Times New Roman" w:cs="Times New Roman"/>
                <w:sz w:val="16"/>
                <w:szCs w:val="16"/>
              </w:rPr>
              <w:t>INV_RIGHTS×</w:t>
            </w:r>
            <w:r>
              <w:rPr>
                <w:rFonts w:ascii="Times New Roman" w:hAnsi="Times New Roman" w:cs="Times New Roman"/>
                <w:sz w:val="16"/>
                <w:szCs w:val="16"/>
              </w:rPr>
              <w:t>Q</w:t>
            </w:r>
            <w:r w:rsidRPr="000277B2">
              <w:rPr>
                <w:rFonts w:ascii="Times New Roman" w:hAnsi="Times New Roman" w:cs="Times New Roman"/>
                <w:sz w:val="16"/>
                <w:szCs w:val="16"/>
              </w:rPr>
              <w:t>4</w:t>
            </w:r>
            <w:r>
              <w:rPr>
                <w:rFonts w:ascii="Times New Roman" w:hAnsi="Times New Roman" w:cs="Times New Roman"/>
                <w:sz w:val="16"/>
                <w:szCs w:val="16"/>
              </w:rPr>
              <w:t xml:space="preserve"> Dummy</w:t>
            </w:r>
          </w:p>
        </w:tc>
        <w:tc>
          <w:tcPr>
            <w:tcW w:w="928" w:type="dxa"/>
            <w:tcBorders>
              <w:top w:val="nil"/>
              <w:left w:val="nil"/>
              <w:bottom w:val="nil"/>
              <w:right w:val="nil"/>
            </w:tcBorders>
            <w:vAlign w:val="center"/>
          </w:tcPr>
          <w:p w:rsidR="000A5021" w:rsidRPr="004201F7" w:rsidRDefault="000A5021" w:rsidP="004201F7">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-0.0415**</w:t>
            </w:r>
          </w:p>
        </w:tc>
        <w:tc>
          <w:tcPr>
            <w:tcW w:w="1016" w:type="dxa"/>
            <w:tcBorders>
              <w:top w:val="nil"/>
              <w:left w:val="nil"/>
              <w:bottom w:val="nil"/>
              <w:right w:val="nil"/>
            </w:tcBorders>
            <w:vAlign w:val="center"/>
          </w:tcPr>
          <w:p w:rsidR="000A5021" w:rsidRPr="004201F7" w:rsidRDefault="000A5021" w:rsidP="004201F7">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-0.242**</w:t>
            </w:r>
          </w:p>
        </w:tc>
        <w:tc>
          <w:tcPr>
            <w:tcW w:w="1016" w:type="dxa"/>
            <w:tcBorders>
              <w:top w:val="nil"/>
              <w:left w:val="nil"/>
              <w:bottom w:val="nil"/>
              <w:right w:val="nil"/>
            </w:tcBorders>
            <w:vAlign w:val="center"/>
          </w:tcPr>
          <w:p w:rsidR="000A5021" w:rsidRPr="004201F7" w:rsidRDefault="000A5021" w:rsidP="004201F7">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-0.0211*</w:t>
            </w:r>
          </w:p>
        </w:tc>
        <w:tc>
          <w:tcPr>
            <w:tcW w:w="1016" w:type="dxa"/>
            <w:tcBorders>
              <w:top w:val="nil"/>
              <w:left w:val="nil"/>
              <w:bottom w:val="nil"/>
              <w:right w:val="nil"/>
            </w:tcBorders>
            <w:vAlign w:val="center"/>
          </w:tcPr>
          <w:p w:rsidR="000A5021" w:rsidRPr="004201F7"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-0.0073**</w:t>
            </w:r>
          </w:p>
        </w:tc>
        <w:tc>
          <w:tcPr>
            <w:tcW w:w="1016" w:type="dxa"/>
            <w:tcBorders>
              <w:top w:val="nil"/>
              <w:left w:val="nil"/>
              <w:bottom w:val="nil"/>
              <w:right w:val="nil"/>
            </w:tcBorders>
            <w:vAlign w:val="center"/>
          </w:tcPr>
          <w:p w:rsidR="000A5021" w:rsidRPr="004201F7" w:rsidRDefault="000A5021" w:rsidP="004201F7">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0.0107***</w:t>
            </w:r>
          </w:p>
        </w:tc>
        <w:tc>
          <w:tcPr>
            <w:tcW w:w="1016" w:type="dxa"/>
            <w:tcBorders>
              <w:top w:val="nil"/>
              <w:left w:val="nil"/>
              <w:bottom w:val="nil"/>
              <w:right w:val="nil"/>
            </w:tcBorders>
            <w:vAlign w:val="center"/>
          </w:tcPr>
          <w:p w:rsidR="000A5021" w:rsidRPr="004201F7" w:rsidRDefault="000A5021" w:rsidP="004201F7">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-0.118*</w:t>
            </w:r>
          </w:p>
        </w:tc>
        <w:tc>
          <w:tcPr>
            <w:tcW w:w="1016" w:type="dxa"/>
            <w:tcBorders>
              <w:top w:val="nil"/>
              <w:left w:val="nil"/>
              <w:bottom w:val="nil"/>
              <w:right w:val="nil"/>
            </w:tcBorders>
            <w:vAlign w:val="center"/>
          </w:tcPr>
          <w:p w:rsidR="000A5021" w:rsidRPr="004201F7" w:rsidRDefault="000A5021" w:rsidP="004201F7">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-0.129***</w:t>
            </w:r>
          </w:p>
        </w:tc>
      </w:tr>
      <w:tr w:rsidR="000A5021" w:rsidRPr="007766C2" w:rsidTr="00456487">
        <w:trPr>
          <w:jc w:val="center"/>
        </w:trPr>
        <w:tc>
          <w:tcPr>
            <w:tcW w:w="1444"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rPr>
                <w:rFonts w:ascii="Times New Roman" w:hAnsi="Times New Roman" w:cs="Times New Roman"/>
                <w:sz w:val="16"/>
                <w:szCs w:val="16"/>
              </w:rPr>
            </w:pPr>
          </w:p>
        </w:tc>
        <w:tc>
          <w:tcPr>
            <w:tcW w:w="928"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(0.0179)</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(0.119)</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(0.0124)</w:t>
            </w:r>
          </w:p>
        </w:tc>
        <w:tc>
          <w:tcPr>
            <w:tcW w:w="1016" w:type="dxa"/>
            <w:tcBorders>
              <w:top w:val="nil"/>
              <w:left w:val="nil"/>
              <w:bottom w:val="nil"/>
              <w:right w:val="nil"/>
            </w:tcBorders>
          </w:tcPr>
          <w:p w:rsidR="000A5021" w:rsidRPr="004201F7"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(0.002</w:t>
            </w:r>
            <w:r>
              <w:rPr>
                <w:rFonts w:ascii="Times New Roman" w:hAnsi="Times New Roman"/>
                <w:sz w:val="16"/>
                <w:szCs w:val="24"/>
              </w:rPr>
              <w:t>7</w:t>
            </w:r>
            <w:r w:rsidRPr="004201F7">
              <w:rPr>
                <w:rFonts w:ascii="Times New Roman" w:hAnsi="Times New Roman"/>
                <w:sz w:val="16"/>
                <w:szCs w:val="24"/>
              </w:rPr>
              <w:t>)</w:t>
            </w:r>
          </w:p>
        </w:tc>
        <w:tc>
          <w:tcPr>
            <w:tcW w:w="1016" w:type="dxa"/>
            <w:tcBorders>
              <w:top w:val="nil"/>
              <w:left w:val="nil"/>
              <w:bottom w:val="nil"/>
              <w:right w:val="nil"/>
            </w:tcBorders>
          </w:tcPr>
          <w:p w:rsidR="000A5021" w:rsidRPr="004201F7"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(0.0031)</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(0.0683)</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(0.0294)</w:t>
            </w:r>
          </w:p>
        </w:tc>
      </w:tr>
      <w:tr w:rsidR="000A5021" w:rsidRPr="007766C2" w:rsidTr="00456487">
        <w:trPr>
          <w:jc w:val="center"/>
        </w:trPr>
        <w:tc>
          <w:tcPr>
            <w:tcW w:w="1444"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rPr>
                <w:rFonts w:ascii="Times New Roman" w:hAnsi="Times New Roman" w:cs="Times New Roman"/>
                <w:sz w:val="16"/>
                <w:szCs w:val="16"/>
              </w:rPr>
            </w:pPr>
          </w:p>
        </w:tc>
        <w:tc>
          <w:tcPr>
            <w:tcW w:w="928"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p>
        </w:tc>
      </w:tr>
      <w:tr w:rsidR="000A5021" w:rsidRPr="007766C2" w:rsidTr="00456487">
        <w:trPr>
          <w:jc w:val="center"/>
        </w:trPr>
        <w:tc>
          <w:tcPr>
            <w:tcW w:w="1444" w:type="dxa"/>
            <w:tcBorders>
              <w:top w:val="nil"/>
              <w:left w:val="nil"/>
              <w:bottom w:val="nil"/>
              <w:right w:val="nil"/>
            </w:tcBorders>
            <w:vAlign w:val="center"/>
          </w:tcPr>
          <w:p w:rsidR="000A5021" w:rsidRPr="000277B2" w:rsidRDefault="000A5021" w:rsidP="00552592">
            <w:pPr>
              <w:spacing w:after="0" w:line="240" w:lineRule="auto"/>
              <w:rPr>
                <w:rFonts w:ascii="Times New Roman" w:eastAsia="Times New Roman" w:hAnsi="Times New Roman" w:cs="Times New Roman"/>
                <w:sz w:val="16"/>
                <w:szCs w:val="16"/>
              </w:rPr>
            </w:pPr>
            <w:r w:rsidRPr="000277B2">
              <w:rPr>
                <w:rFonts w:ascii="Times New Roman" w:eastAsia="Times New Roman" w:hAnsi="Times New Roman" w:cs="Times New Roman"/>
                <w:sz w:val="16"/>
                <w:szCs w:val="16"/>
              </w:rPr>
              <w:t>Firm FE</w:t>
            </w:r>
          </w:p>
        </w:tc>
        <w:tc>
          <w:tcPr>
            <w:tcW w:w="928"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Yes</w:t>
            </w: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Yes</w:t>
            </w: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Yes</w:t>
            </w: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Yes</w:t>
            </w: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Yes</w:t>
            </w: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Yes</w:t>
            </w: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Yes</w:t>
            </w:r>
          </w:p>
        </w:tc>
      </w:tr>
      <w:tr w:rsidR="000A5021" w:rsidRPr="007766C2" w:rsidTr="00456487">
        <w:trPr>
          <w:jc w:val="center"/>
        </w:trPr>
        <w:tc>
          <w:tcPr>
            <w:tcW w:w="1444" w:type="dxa"/>
            <w:tcBorders>
              <w:top w:val="nil"/>
              <w:left w:val="nil"/>
              <w:bottom w:val="nil"/>
              <w:right w:val="nil"/>
            </w:tcBorders>
            <w:vAlign w:val="center"/>
          </w:tcPr>
          <w:p w:rsidR="000A5021" w:rsidRPr="000277B2" w:rsidRDefault="000A5021" w:rsidP="00552592">
            <w:pPr>
              <w:spacing w:after="0" w:line="240" w:lineRule="auto"/>
              <w:rPr>
                <w:rFonts w:ascii="Times New Roman" w:eastAsia="Times New Roman" w:hAnsi="Times New Roman" w:cs="Times New Roman"/>
                <w:sz w:val="16"/>
                <w:szCs w:val="16"/>
              </w:rPr>
            </w:pPr>
            <w:r w:rsidRPr="000277B2">
              <w:rPr>
                <w:rFonts w:ascii="Times New Roman" w:eastAsia="Times New Roman" w:hAnsi="Times New Roman" w:cs="Times New Roman"/>
                <w:sz w:val="16"/>
                <w:szCs w:val="16"/>
              </w:rPr>
              <w:t>Industry-Time FE</w:t>
            </w:r>
          </w:p>
        </w:tc>
        <w:tc>
          <w:tcPr>
            <w:tcW w:w="928"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Yes</w:t>
            </w: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Yes</w:t>
            </w: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Yes</w:t>
            </w: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Yes</w:t>
            </w: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Yes</w:t>
            </w: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Yes</w:t>
            </w:r>
          </w:p>
        </w:tc>
        <w:tc>
          <w:tcPr>
            <w:tcW w:w="1016"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Yes</w:t>
            </w:r>
          </w:p>
        </w:tc>
      </w:tr>
      <w:tr w:rsidR="000A5021" w:rsidRPr="007766C2" w:rsidTr="00456487">
        <w:trPr>
          <w:jc w:val="center"/>
        </w:trPr>
        <w:tc>
          <w:tcPr>
            <w:tcW w:w="1444" w:type="dxa"/>
            <w:tcBorders>
              <w:top w:val="nil"/>
              <w:left w:val="nil"/>
              <w:bottom w:val="nil"/>
              <w:right w:val="nil"/>
            </w:tcBorders>
          </w:tcPr>
          <w:p w:rsidR="000A5021" w:rsidRPr="000277B2" w:rsidRDefault="000A5021" w:rsidP="00552592">
            <w:pPr>
              <w:widowControl w:val="0"/>
              <w:autoSpaceDE w:val="0"/>
              <w:autoSpaceDN w:val="0"/>
              <w:adjustRightInd w:val="0"/>
              <w:spacing w:after="0" w:line="240" w:lineRule="auto"/>
              <w:rPr>
                <w:rFonts w:ascii="Times New Roman" w:hAnsi="Times New Roman" w:cs="Times New Roman"/>
                <w:sz w:val="16"/>
                <w:szCs w:val="16"/>
              </w:rPr>
            </w:pPr>
            <w:r w:rsidRPr="000277B2">
              <w:rPr>
                <w:rFonts w:ascii="Times New Roman" w:hAnsi="Times New Roman" w:cs="Times New Roman"/>
                <w:sz w:val="16"/>
                <w:szCs w:val="16"/>
              </w:rPr>
              <w:t>Observations</w:t>
            </w:r>
          </w:p>
        </w:tc>
        <w:tc>
          <w:tcPr>
            <w:tcW w:w="928"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112,764</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117,456</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115,839</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105,509</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98,974</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120,253</w:t>
            </w:r>
          </w:p>
        </w:tc>
        <w:tc>
          <w:tcPr>
            <w:tcW w:w="101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120,253</w:t>
            </w:r>
          </w:p>
        </w:tc>
      </w:tr>
      <w:tr w:rsidR="000A5021" w:rsidRPr="007766C2" w:rsidTr="00456487">
        <w:tblPrEx>
          <w:tblBorders>
            <w:bottom w:val="single" w:sz="6" w:space="0" w:color="auto"/>
          </w:tblBorders>
        </w:tblPrEx>
        <w:trPr>
          <w:jc w:val="center"/>
        </w:trPr>
        <w:tc>
          <w:tcPr>
            <w:tcW w:w="1444" w:type="dxa"/>
            <w:tcBorders>
              <w:top w:val="nil"/>
              <w:left w:val="nil"/>
              <w:bottom w:val="double" w:sz="4" w:space="0" w:color="auto"/>
              <w:right w:val="nil"/>
            </w:tcBorders>
          </w:tcPr>
          <w:p w:rsidR="000A5021" w:rsidRPr="000277B2" w:rsidRDefault="000A5021" w:rsidP="00552592">
            <w:pPr>
              <w:widowControl w:val="0"/>
              <w:autoSpaceDE w:val="0"/>
              <w:autoSpaceDN w:val="0"/>
              <w:adjustRightInd w:val="0"/>
              <w:spacing w:after="0" w:line="240" w:lineRule="auto"/>
              <w:rPr>
                <w:rFonts w:ascii="Times New Roman" w:hAnsi="Times New Roman" w:cs="Times New Roman"/>
                <w:sz w:val="16"/>
                <w:szCs w:val="16"/>
              </w:rPr>
            </w:pPr>
            <w:r w:rsidRPr="000277B2">
              <w:rPr>
                <w:rFonts w:ascii="Times New Roman" w:hAnsi="Times New Roman" w:cs="Times New Roman"/>
                <w:sz w:val="16"/>
                <w:szCs w:val="16"/>
              </w:rPr>
              <w:t>R-squared</w:t>
            </w:r>
          </w:p>
        </w:tc>
        <w:tc>
          <w:tcPr>
            <w:tcW w:w="928" w:type="dxa"/>
            <w:tcBorders>
              <w:top w:val="nil"/>
              <w:left w:val="nil"/>
              <w:bottom w:val="double" w:sz="4" w:space="0" w:color="auto"/>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0.569</w:t>
            </w:r>
          </w:p>
        </w:tc>
        <w:tc>
          <w:tcPr>
            <w:tcW w:w="1016" w:type="dxa"/>
            <w:tcBorders>
              <w:top w:val="nil"/>
              <w:left w:val="nil"/>
              <w:bottom w:val="double" w:sz="4" w:space="0" w:color="auto"/>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0.565</w:t>
            </w:r>
          </w:p>
        </w:tc>
        <w:tc>
          <w:tcPr>
            <w:tcW w:w="1016" w:type="dxa"/>
            <w:tcBorders>
              <w:top w:val="nil"/>
              <w:left w:val="nil"/>
              <w:bottom w:val="double" w:sz="4" w:space="0" w:color="auto"/>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0.564</w:t>
            </w:r>
          </w:p>
        </w:tc>
        <w:tc>
          <w:tcPr>
            <w:tcW w:w="1016" w:type="dxa"/>
            <w:tcBorders>
              <w:top w:val="nil"/>
              <w:left w:val="nil"/>
              <w:bottom w:val="double" w:sz="4" w:space="0" w:color="auto"/>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0.579</w:t>
            </w:r>
          </w:p>
        </w:tc>
        <w:tc>
          <w:tcPr>
            <w:tcW w:w="1016" w:type="dxa"/>
            <w:tcBorders>
              <w:top w:val="nil"/>
              <w:left w:val="nil"/>
              <w:bottom w:val="double" w:sz="4" w:space="0" w:color="auto"/>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0.580</w:t>
            </w:r>
          </w:p>
        </w:tc>
        <w:tc>
          <w:tcPr>
            <w:tcW w:w="1016" w:type="dxa"/>
            <w:tcBorders>
              <w:top w:val="nil"/>
              <w:left w:val="nil"/>
              <w:bottom w:val="double" w:sz="4" w:space="0" w:color="auto"/>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0.562</w:t>
            </w:r>
          </w:p>
        </w:tc>
        <w:tc>
          <w:tcPr>
            <w:tcW w:w="1016" w:type="dxa"/>
            <w:tcBorders>
              <w:top w:val="nil"/>
              <w:left w:val="nil"/>
              <w:bottom w:val="double" w:sz="4" w:space="0" w:color="auto"/>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0.562</w:t>
            </w:r>
          </w:p>
        </w:tc>
      </w:tr>
    </w:tbl>
    <w:p w:rsidR="000277B2" w:rsidRDefault="000277B2">
      <w:pPr>
        <w:rPr>
          <w:rFonts w:ascii="Times New Roman" w:hAnsi="Times New Roman" w:cs="Times New Roman"/>
          <w:sz w:val="16"/>
          <w:szCs w:val="16"/>
        </w:rPr>
      </w:pPr>
    </w:p>
    <w:p w:rsidR="000277B2" w:rsidRDefault="000277B2">
      <w:pPr>
        <w:rPr>
          <w:rFonts w:ascii="Times New Roman" w:hAnsi="Times New Roman" w:cs="Times New Roman"/>
          <w:sz w:val="16"/>
          <w:szCs w:val="16"/>
        </w:rPr>
      </w:pPr>
    </w:p>
    <w:p w:rsidR="000277B2" w:rsidRDefault="000277B2">
      <w:pPr>
        <w:rPr>
          <w:rFonts w:ascii="Times New Roman" w:hAnsi="Times New Roman" w:cs="Times New Roman"/>
          <w:sz w:val="16"/>
          <w:szCs w:val="16"/>
        </w:rPr>
      </w:pPr>
    </w:p>
    <w:p w:rsidR="00F27DF1" w:rsidRDefault="00F27DF1" w:rsidP="00F27DF1">
      <w:pPr>
        <w:spacing w:after="120" w:line="240" w:lineRule="auto"/>
        <w:ind w:firstLine="288"/>
        <w:jc w:val="both"/>
        <w:rPr>
          <w:rFonts w:ascii="Times New Roman" w:hAnsi="Times New Roman" w:cs="Times New Roman"/>
          <w:sz w:val="16"/>
        </w:rPr>
      </w:pPr>
      <w:r w:rsidRPr="00EE1141">
        <w:rPr>
          <w:rFonts w:ascii="Times New Roman" w:hAnsi="Times New Roman" w:cs="Times New Roman"/>
          <w:sz w:val="16"/>
        </w:rPr>
        <w:t xml:space="preserve">In Panel </w:t>
      </w:r>
      <w:r>
        <w:rPr>
          <w:rFonts w:ascii="Times New Roman" w:hAnsi="Times New Roman" w:cs="Times New Roman"/>
          <w:sz w:val="16"/>
        </w:rPr>
        <w:t>C</w:t>
      </w:r>
      <w:r w:rsidRPr="00EE1141">
        <w:rPr>
          <w:rFonts w:ascii="Times New Roman" w:hAnsi="Times New Roman" w:cs="Times New Roman"/>
          <w:sz w:val="16"/>
        </w:rPr>
        <w:t xml:space="preserve">, we focus on the category of development of financial market, which is proxied by </w:t>
      </w:r>
      <w:r>
        <w:rPr>
          <w:rFonts w:ascii="Times New Roman" w:hAnsi="Times New Roman" w:cs="Times New Roman"/>
          <w:sz w:val="16"/>
        </w:rPr>
        <w:t>four</w:t>
      </w:r>
      <w:r w:rsidRPr="00EE1141">
        <w:rPr>
          <w:rFonts w:ascii="Times New Roman" w:hAnsi="Times New Roman" w:cs="Times New Roman"/>
          <w:sz w:val="16"/>
        </w:rPr>
        <w:t xml:space="preserve"> variables, namely the ratio of stock market capitalization over GDP (EQUITY), the ratio of domestic credit to private sector over GDP (CREDIT), the combination of the two as a measure of</w:t>
      </w:r>
      <w:r w:rsidR="00050F48">
        <w:rPr>
          <w:rFonts w:ascii="Times New Roman" w:hAnsi="Times New Roman" w:cs="Times New Roman"/>
          <w:sz w:val="16"/>
        </w:rPr>
        <w:t xml:space="preserve"> overall</w:t>
      </w:r>
      <w:r w:rsidRPr="00EE1141">
        <w:rPr>
          <w:rFonts w:ascii="Times New Roman" w:hAnsi="Times New Roman" w:cs="Times New Roman"/>
          <w:sz w:val="16"/>
        </w:rPr>
        <w:t xml:space="preserve"> financial market development (F</w:t>
      </w:r>
      <w:r>
        <w:rPr>
          <w:rFonts w:ascii="Times New Roman" w:hAnsi="Times New Roman" w:cs="Times New Roman"/>
          <w:sz w:val="16"/>
        </w:rPr>
        <w:t>D</w:t>
      </w:r>
      <w:r w:rsidRPr="00EE1141">
        <w:rPr>
          <w:rFonts w:ascii="Times New Roman" w:hAnsi="Times New Roman" w:cs="Times New Roman"/>
          <w:sz w:val="16"/>
        </w:rPr>
        <w:t xml:space="preserve">), and the number of IPOs per capita (IPO). </w:t>
      </w:r>
    </w:p>
    <w:tbl>
      <w:tblPr>
        <w:tblW w:w="10368" w:type="dxa"/>
        <w:jc w:val="center"/>
        <w:tblLayout w:type="fixed"/>
        <w:tblCellMar>
          <w:left w:w="75" w:type="dxa"/>
          <w:right w:w="75" w:type="dxa"/>
        </w:tblCellMar>
        <w:tblLook w:val="0000" w:firstRow="0" w:lastRow="0" w:firstColumn="0" w:lastColumn="0" w:noHBand="0" w:noVBand="0"/>
      </w:tblPr>
      <w:tblGrid>
        <w:gridCol w:w="1384"/>
        <w:gridCol w:w="1039"/>
        <w:gridCol w:w="1037"/>
        <w:gridCol w:w="1036"/>
        <w:gridCol w:w="1036"/>
        <w:gridCol w:w="692"/>
        <w:gridCol w:w="1036"/>
        <w:gridCol w:w="1036"/>
        <w:gridCol w:w="1036"/>
        <w:gridCol w:w="1036"/>
      </w:tblGrid>
      <w:tr w:rsidR="007766C2" w:rsidRPr="005A5576" w:rsidTr="005A5576">
        <w:trPr>
          <w:trHeight w:val="267"/>
          <w:jc w:val="center"/>
        </w:trPr>
        <w:tc>
          <w:tcPr>
            <w:tcW w:w="10368" w:type="dxa"/>
            <w:gridSpan w:val="10"/>
            <w:tcBorders>
              <w:top w:val="double" w:sz="4" w:space="0" w:color="auto"/>
              <w:left w:val="nil"/>
              <w:bottom w:val="single" w:sz="4" w:space="0" w:color="auto"/>
              <w:right w:val="nil"/>
            </w:tcBorders>
          </w:tcPr>
          <w:p w:rsidR="007766C2" w:rsidRPr="005A5576" w:rsidRDefault="007766C2" w:rsidP="003F0CA6">
            <w:pPr>
              <w:widowControl w:val="0"/>
              <w:autoSpaceDE w:val="0"/>
              <w:autoSpaceDN w:val="0"/>
              <w:adjustRightInd w:val="0"/>
              <w:spacing w:after="0" w:line="240" w:lineRule="auto"/>
              <w:jc w:val="center"/>
              <w:rPr>
                <w:rFonts w:ascii="Times New Roman" w:hAnsi="Times New Roman" w:cs="Times New Roman"/>
                <w:sz w:val="18"/>
                <w:szCs w:val="16"/>
              </w:rPr>
            </w:pPr>
            <w:r w:rsidRPr="005A5576">
              <w:rPr>
                <w:rFonts w:ascii="Times New Roman" w:hAnsi="Times New Roman" w:cs="Times New Roman"/>
                <w:sz w:val="18"/>
                <w:szCs w:val="16"/>
              </w:rPr>
              <w:t xml:space="preserve">Panel </w:t>
            </w:r>
            <w:r w:rsidR="000277B2" w:rsidRPr="005A5576">
              <w:rPr>
                <w:rFonts w:ascii="Times New Roman" w:hAnsi="Times New Roman" w:cs="Times New Roman"/>
                <w:sz w:val="18"/>
                <w:szCs w:val="16"/>
              </w:rPr>
              <w:t>C</w:t>
            </w:r>
            <w:r w:rsidRPr="005A5576">
              <w:rPr>
                <w:rFonts w:ascii="Times New Roman" w:hAnsi="Times New Roman" w:cs="Times New Roman"/>
                <w:sz w:val="18"/>
                <w:szCs w:val="16"/>
              </w:rPr>
              <w:t>: Financial Market Development</w:t>
            </w:r>
            <w:r w:rsidR="00E56908" w:rsidRPr="005A5576">
              <w:rPr>
                <w:rFonts w:ascii="Times New Roman" w:hAnsi="Times New Roman" w:cs="Times New Roman"/>
                <w:sz w:val="18"/>
                <w:szCs w:val="16"/>
              </w:rPr>
              <w:t xml:space="preserve"> (FIN_MKT)</w:t>
            </w:r>
          </w:p>
        </w:tc>
      </w:tr>
      <w:tr w:rsidR="007766C2" w:rsidRPr="004E3829" w:rsidTr="000928AC">
        <w:trPr>
          <w:trHeight w:val="269"/>
          <w:jc w:val="center"/>
        </w:trPr>
        <w:tc>
          <w:tcPr>
            <w:tcW w:w="1384" w:type="dxa"/>
            <w:tcBorders>
              <w:top w:val="single" w:sz="4" w:space="0" w:color="auto"/>
              <w:left w:val="nil"/>
              <w:right w:val="nil"/>
            </w:tcBorders>
          </w:tcPr>
          <w:p w:rsidR="007766C2" w:rsidRPr="004E3829" w:rsidRDefault="007766C2" w:rsidP="007766C2">
            <w:pPr>
              <w:widowControl w:val="0"/>
              <w:autoSpaceDE w:val="0"/>
              <w:autoSpaceDN w:val="0"/>
              <w:adjustRightInd w:val="0"/>
              <w:spacing w:after="0" w:line="240" w:lineRule="auto"/>
              <w:rPr>
                <w:rFonts w:ascii="Times New Roman" w:hAnsi="Times New Roman" w:cs="Times New Roman"/>
                <w:sz w:val="16"/>
                <w:szCs w:val="16"/>
              </w:rPr>
            </w:pPr>
          </w:p>
        </w:tc>
        <w:tc>
          <w:tcPr>
            <w:tcW w:w="4148" w:type="dxa"/>
            <w:gridSpan w:val="4"/>
            <w:tcBorders>
              <w:top w:val="single" w:sz="4" w:space="0" w:color="auto"/>
              <w:left w:val="nil"/>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Full Sample</w:t>
            </w:r>
          </w:p>
        </w:tc>
        <w:tc>
          <w:tcPr>
            <w:tcW w:w="692" w:type="dxa"/>
            <w:tcBorders>
              <w:top w:val="single" w:sz="4" w:space="0" w:color="auto"/>
              <w:left w:val="nil"/>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4144" w:type="dxa"/>
            <w:gridSpan w:val="4"/>
            <w:tcBorders>
              <w:top w:val="single" w:sz="4" w:space="0" w:color="auto"/>
              <w:left w:val="nil"/>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Non-US Subsample</w:t>
            </w:r>
          </w:p>
        </w:tc>
      </w:tr>
      <w:tr w:rsidR="007766C2" w:rsidRPr="004E3829" w:rsidTr="007766C2">
        <w:trPr>
          <w:jc w:val="center"/>
        </w:trPr>
        <w:tc>
          <w:tcPr>
            <w:tcW w:w="1384" w:type="dxa"/>
            <w:tcBorders>
              <w:left w:val="nil"/>
              <w:bottom w:val="single" w:sz="6" w:space="0" w:color="auto"/>
              <w:right w:val="nil"/>
            </w:tcBorders>
          </w:tcPr>
          <w:p w:rsidR="007766C2" w:rsidRPr="004E3829" w:rsidRDefault="00050F48" w:rsidP="007766C2">
            <w:pPr>
              <w:widowControl w:val="0"/>
              <w:autoSpaceDE w:val="0"/>
              <w:autoSpaceDN w:val="0"/>
              <w:adjustRightInd w:val="0"/>
              <w:spacing w:after="0" w:line="240" w:lineRule="auto"/>
              <w:rPr>
                <w:rFonts w:ascii="Times New Roman" w:hAnsi="Times New Roman" w:cs="Times New Roman"/>
                <w:sz w:val="16"/>
                <w:szCs w:val="16"/>
              </w:rPr>
            </w:pPr>
            <w:r w:rsidRPr="00050F48">
              <w:rPr>
                <w:rFonts w:ascii="Times New Roman" w:hAnsi="Times New Roman" w:cs="Times New Roman"/>
                <w:sz w:val="18"/>
                <w:szCs w:val="16"/>
              </w:rPr>
              <w:t>Variables</w:t>
            </w:r>
          </w:p>
        </w:tc>
        <w:tc>
          <w:tcPr>
            <w:tcW w:w="1039" w:type="dxa"/>
            <w:tcBorders>
              <w:left w:val="nil"/>
              <w:bottom w:val="single" w:sz="6" w:space="0" w:color="auto"/>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EQUITY</w:t>
            </w:r>
          </w:p>
        </w:tc>
        <w:tc>
          <w:tcPr>
            <w:tcW w:w="1037" w:type="dxa"/>
            <w:tcBorders>
              <w:left w:val="nil"/>
              <w:bottom w:val="single" w:sz="6" w:space="0" w:color="auto"/>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CREDIT</w:t>
            </w:r>
          </w:p>
        </w:tc>
        <w:tc>
          <w:tcPr>
            <w:tcW w:w="1036" w:type="dxa"/>
            <w:tcBorders>
              <w:left w:val="nil"/>
              <w:bottom w:val="single" w:sz="6" w:space="0" w:color="auto"/>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FD</w:t>
            </w:r>
          </w:p>
        </w:tc>
        <w:tc>
          <w:tcPr>
            <w:tcW w:w="1036" w:type="dxa"/>
            <w:tcBorders>
              <w:left w:val="nil"/>
              <w:bottom w:val="single" w:sz="6" w:space="0" w:color="auto"/>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IPO</w:t>
            </w:r>
          </w:p>
        </w:tc>
        <w:tc>
          <w:tcPr>
            <w:tcW w:w="692" w:type="dxa"/>
            <w:tcBorders>
              <w:left w:val="nil"/>
              <w:bottom w:val="single" w:sz="6" w:space="0" w:color="auto"/>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left w:val="nil"/>
              <w:bottom w:val="single" w:sz="6" w:space="0" w:color="auto"/>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EQUITY</w:t>
            </w:r>
          </w:p>
        </w:tc>
        <w:tc>
          <w:tcPr>
            <w:tcW w:w="1036" w:type="dxa"/>
            <w:tcBorders>
              <w:left w:val="nil"/>
              <w:bottom w:val="single" w:sz="6" w:space="0" w:color="auto"/>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CREDIT</w:t>
            </w:r>
          </w:p>
        </w:tc>
        <w:tc>
          <w:tcPr>
            <w:tcW w:w="1036" w:type="dxa"/>
            <w:tcBorders>
              <w:left w:val="nil"/>
              <w:bottom w:val="single" w:sz="6" w:space="0" w:color="auto"/>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FD</w:t>
            </w:r>
          </w:p>
        </w:tc>
        <w:tc>
          <w:tcPr>
            <w:tcW w:w="1036" w:type="dxa"/>
            <w:tcBorders>
              <w:left w:val="nil"/>
              <w:bottom w:val="single" w:sz="6" w:space="0" w:color="auto"/>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IPO</w:t>
            </w:r>
          </w:p>
        </w:tc>
      </w:tr>
      <w:tr w:rsidR="007766C2" w:rsidRPr="004E3829" w:rsidTr="007766C2">
        <w:trPr>
          <w:jc w:val="center"/>
        </w:trPr>
        <w:tc>
          <w:tcPr>
            <w:tcW w:w="1384" w:type="dxa"/>
            <w:tcBorders>
              <w:top w:val="nil"/>
              <w:left w:val="nil"/>
              <w:bottom w:val="nil"/>
              <w:right w:val="nil"/>
            </w:tcBorders>
          </w:tcPr>
          <w:p w:rsidR="007766C2" w:rsidRPr="004E3829" w:rsidRDefault="007766C2" w:rsidP="007766C2">
            <w:pPr>
              <w:widowControl w:val="0"/>
              <w:autoSpaceDE w:val="0"/>
              <w:autoSpaceDN w:val="0"/>
              <w:adjustRightInd w:val="0"/>
              <w:spacing w:after="0" w:line="240" w:lineRule="auto"/>
              <w:rPr>
                <w:rFonts w:ascii="Times New Roman" w:hAnsi="Times New Roman" w:cs="Times New Roman"/>
                <w:sz w:val="16"/>
                <w:szCs w:val="16"/>
              </w:rPr>
            </w:pPr>
          </w:p>
        </w:tc>
        <w:tc>
          <w:tcPr>
            <w:tcW w:w="1039" w:type="dxa"/>
            <w:tcBorders>
              <w:top w:val="nil"/>
              <w:left w:val="nil"/>
              <w:bottom w:val="nil"/>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7" w:type="dxa"/>
            <w:tcBorders>
              <w:top w:val="nil"/>
              <w:left w:val="nil"/>
              <w:bottom w:val="nil"/>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692" w:type="dxa"/>
            <w:tcBorders>
              <w:top w:val="nil"/>
              <w:left w:val="nil"/>
              <w:bottom w:val="nil"/>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7766C2" w:rsidRPr="004E3829" w:rsidRDefault="007766C2" w:rsidP="007766C2">
            <w:pPr>
              <w:widowControl w:val="0"/>
              <w:autoSpaceDE w:val="0"/>
              <w:autoSpaceDN w:val="0"/>
              <w:adjustRightInd w:val="0"/>
              <w:spacing w:after="0" w:line="240" w:lineRule="auto"/>
              <w:jc w:val="center"/>
              <w:rPr>
                <w:rFonts w:ascii="Times New Roman" w:hAnsi="Times New Roman" w:cs="Times New Roman"/>
                <w:sz w:val="16"/>
                <w:szCs w:val="16"/>
              </w:rPr>
            </w:pPr>
          </w:p>
        </w:tc>
      </w:tr>
      <w:tr w:rsidR="000A5021" w:rsidRPr="004E3829" w:rsidTr="007766C2">
        <w:trPr>
          <w:jc w:val="center"/>
        </w:trPr>
        <w:tc>
          <w:tcPr>
            <w:tcW w:w="1384" w:type="dxa"/>
            <w:tcBorders>
              <w:top w:val="nil"/>
              <w:left w:val="nil"/>
              <w:bottom w:val="nil"/>
              <w:right w:val="nil"/>
            </w:tcBorders>
          </w:tcPr>
          <w:p w:rsidR="000A5021" w:rsidRPr="00EA4DB4" w:rsidRDefault="000A5021" w:rsidP="00491524">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Q4 Dummy</w:t>
            </w:r>
          </w:p>
        </w:tc>
        <w:tc>
          <w:tcPr>
            <w:tcW w:w="1039" w:type="dxa"/>
            <w:tcBorders>
              <w:top w:val="nil"/>
              <w:left w:val="nil"/>
              <w:bottom w:val="nil"/>
              <w:right w:val="nil"/>
            </w:tcBorders>
          </w:tcPr>
          <w:p w:rsidR="000A5021" w:rsidRPr="00195D43"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0.171***</w:t>
            </w:r>
          </w:p>
        </w:tc>
        <w:tc>
          <w:tcPr>
            <w:tcW w:w="1037" w:type="dxa"/>
            <w:tcBorders>
              <w:top w:val="nil"/>
              <w:left w:val="nil"/>
              <w:bottom w:val="nil"/>
              <w:right w:val="nil"/>
            </w:tcBorders>
          </w:tcPr>
          <w:p w:rsidR="000A5021" w:rsidRPr="00195D43"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0.354***</w:t>
            </w:r>
          </w:p>
        </w:tc>
        <w:tc>
          <w:tcPr>
            <w:tcW w:w="1036" w:type="dxa"/>
            <w:tcBorders>
              <w:top w:val="nil"/>
              <w:left w:val="nil"/>
              <w:bottom w:val="nil"/>
              <w:right w:val="nil"/>
            </w:tcBorders>
          </w:tcPr>
          <w:p w:rsidR="000A5021" w:rsidRPr="00195D43"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0.268***</w:t>
            </w:r>
          </w:p>
        </w:tc>
        <w:tc>
          <w:tcPr>
            <w:tcW w:w="1036" w:type="dxa"/>
            <w:tcBorders>
              <w:top w:val="nil"/>
              <w:left w:val="nil"/>
              <w:bottom w:val="nil"/>
              <w:right w:val="nil"/>
            </w:tcBorders>
          </w:tcPr>
          <w:p w:rsidR="000A5021" w:rsidRPr="00195D43"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0.232***</w:t>
            </w:r>
          </w:p>
        </w:tc>
        <w:tc>
          <w:tcPr>
            <w:tcW w:w="692"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0.219***</w:t>
            </w:r>
          </w:p>
        </w:tc>
        <w:tc>
          <w:tcPr>
            <w:tcW w:w="103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0.453***</w:t>
            </w:r>
          </w:p>
        </w:tc>
        <w:tc>
          <w:tcPr>
            <w:tcW w:w="103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0.284***</w:t>
            </w:r>
          </w:p>
        </w:tc>
        <w:tc>
          <w:tcPr>
            <w:tcW w:w="103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0.266***</w:t>
            </w:r>
          </w:p>
        </w:tc>
      </w:tr>
      <w:tr w:rsidR="000A5021" w:rsidRPr="004E3829" w:rsidTr="007766C2">
        <w:trPr>
          <w:jc w:val="center"/>
        </w:trPr>
        <w:tc>
          <w:tcPr>
            <w:tcW w:w="1384" w:type="dxa"/>
            <w:tcBorders>
              <w:top w:val="nil"/>
              <w:left w:val="nil"/>
              <w:bottom w:val="nil"/>
              <w:right w:val="nil"/>
            </w:tcBorders>
          </w:tcPr>
          <w:p w:rsidR="000A5021" w:rsidRPr="00EA4DB4" w:rsidRDefault="000A5021" w:rsidP="00491524">
            <w:pPr>
              <w:widowControl w:val="0"/>
              <w:autoSpaceDE w:val="0"/>
              <w:autoSpaceDN w:val="0"/>
              <w:adjustRightInd w:val="0"/>
              <w:spacing w:after="0" w:line="240" w:lineRule="auto"/>
              <w:rPr>
                <w:rFonts w:ascii="Times New Roman" w:hAnsi="Times New Roman" w:cs="Times New Roman"/>
                <w:sz w:val="16"/>
                <w:szCs w:val="16"/>
              </w:rPr>
            </w:pPr>
          </w:p>
        </w:tc>
        <w:tc>
          <w:tcPr>
            <w:tcW w:w="1039" w:type="dxa"/>
            <w:tcBorders>
              <w:top w:val="nil"/>
              <w:left w:val="nil"/>
              <w:bottom w:val="nil"/>
              <w:right w:val="nil"/>
            </w:tcBorders>
          </w:tcPr>
          <w:p w:rsidR="000A5021" w:rsidRPr="00195D43"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(0.0487)</w:t>
            </w:r>
          </w:p>
        </w:tc>
        <w:tc>
          <w:tcPr>
            <w:tcW w:w="1037" w:type="dxa"/>
            <w:tcBorders>
              <w:top w:val="nil"/>
              <w:left w:val="nil"/>
              <w:bottom w:val="nil"/>
              <w:right w:val="nil"/>
            </w:tcBorders>
          </w:tcPr>
          <w:p w:rsidR="000A5021" w:rsidRPr="00195D43"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(0.0691)</w:t>
            </w:r>
          </w:p>
        </w:tc>
        <w:tc>
          <w:tcPr>
            <w:tcW w:w="1036" w:type="dxa"/>
            <w:tcBorders>
              <w:top w:val="nil"/>
              <w:left w:val="nil"/>
              <w:bottom w:val="nil"/>
              <w:right w:val="nil"/>
            </w:tcBorders>
          </w:tcPr>
          <w:p w:rsidR="000A5021" w:rsidRPr="00195D43"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(0.0694)</w:t>
            </w:r>
          </w:p>
        </w:tc>
        <w:tc>
          <w:tcPr>
            <w:tcW w:w="1036" w:type="dxa"/>
            <w:tcBorders>
              <w:top w:val="nil"/>
              <w:left w:val="nil"/>
              <w:bottom w:val="nil"/>
              <w:right w:val="nil"/>
            </w:tcBorders>
          </w:tcPr>
          <w:p w:rsidR="000A5021" w:rsidRPr="00195D43"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(0.0569)</w:t>
            </w:r>
          </w:p>
        </w:tc>
        <w:tc>
          <w:tcPr>
            <w:tcW w:w="692"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(0.0531)</w:t>
            </w:r>
          </w:p>
        </w:tc>
        <w:tc>
          <w:tcPr>
            <w:tcW w:w="103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(0.0547)</w:t>
            </w:r>
          </w:p>
        </w:tc>
        <w:tc>
          <w:tcPr>
            <w:tcW w:w="103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(0.0671)</w:t>
            </w:r>
          </w:p>
        </w:tc>
        <w:tc>
          <w:tcPr>
            <w:tcW w:w="1036" w:type="dxa"/>
            <w:tcBorders>
              <w:top w:val="nil"/>
              <w:left w:val="nil"/>
              <w:bottom w:val="nil"/>
              <w:right w:val="nil"/>
            </w:tcBorders>
          </w:tcPr>
          <w:p w:rsidR="000A5021" w:rsidRPr="000A5021" w:rsidRDefault="000A5021" w:rsidP="00491524">
            <w:pPr>
              <w:widowControl w:val="0"/>
              <w:autoSpaceDE w:val="0"/>
              <w:autoSpaceDN w:val="0"/>
              <w:adjustRightInd w:val="0"/>
              <w:spacing w:after="0" w:line="240" w:lineRule="auto"/>
              <w:jc w:val="center"/>
              <w:rPr>
                <w:rFonts w:ascii="Times New Roman" w:hAnsi="Times New Roman"/>
                <w:sz w:val="16"/>
                <w:szCs w:val="24"/>
              </w:rPr>
            </w:pPr>
            <w:r w:rsidRPr="000A5021">
              <w:rPr>
                <w:rFonts w:ascii="Times New Roman" w:hAnsi="Times New Roman"/>
                <w:sz w:val="16"/>
                <w:szCs w:val="24"/>
              </w:rPr>
              <w:t>(0.0648)</w:t>
            </w:r>
          </w:p>
        </w:tc>
      </w:tr>
      <w:tr w:rsidR="000A5021" w:rsidRPr="004E3829" w:rsidTr="007766C2">
        <w:trPr>
          <w:jc w:val="center"/>
        </w:trPr>
        <w:tc>
          <w:tcPr>
            <w:tcW w:w="1384" w:type="dxa"/>
            <w:tcBorders>
              <w:top w:val="nil"/>
              <w:left w:val="nil"/>
              <w:bottom w:val="nil"/>
              <w:right w:val="nil"/>
            </w:tcBorders>
          </w:tcPr>
          <w:p w:rsidR="000A5021" w:rsidRPr="004E3829" w:rsidRDefault="000A5021" w:rsidP="003F0CA6">
            <w:pPr>
              <w:widowControl w:val="0"/>
              <w:autoSpaceDE w:val="0"/>
              <w:autoSpaceDN w:val="0"/>
              <w:adjustRightInd w:val="0"/>
              <w:spacing w:after="0" w:line="240" w:lineRule="auto"/>
              <w:rPr>
                <w:rFonts w:ascii="Times New Roman" w:hAnsi="Times New Roman" w:cs="Times New Roman"/>
                <w:sz w:val="16"/>
                <w:szCs w:val="16"/>
              </w:rPr>
            </w:pPr>
            <w:r w:rsidRPr="004E3829">
              <w:rPr>
                <w:rFonts w:ascii="Times New Roman" w:hAnsi="Times New Roman" w:cs="Times New Roman"/>
                <w:sz w:val="16"/>
                <w:szCs w:val="16"/>
              </w:rPr>
              <w:t>log_GDP</w:t>
            </w:r>
          </w:p>
        </w:tc>
        <w:tc>
          <w:tcPr>
            <w:tcW w:w="1039" w:type="dxa"/>
            <w:tcBorders>
              <w:top w:val="nil"/>
              <w:left w:val="nil"/>
              <w:bottom w:val="nil"/>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0.0797</w:t>
            </w:r>
          </w:p>
        </w:tc>
        <w:tc>
          <w:tcPr>
            <w:tcW w:w="1037" w:type="dxa"/>
            <w:tcBorders>
              <w:top w:val="nil"/>
              <w:left w:val="nil"/>
              <w:bottom w:val="nil"/>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0.275</w:t>
            </w:r>
          </w:p>
        </w:tc>
        <w:tc>
          <w:tcPr>
            <w:tcW w:w="1036" w:type="dxa"/>
            <w:tcBorders>
              <w:top w:val="nil"/>
              <w:left w:val="nil"/>
              <w:bottom w:val="nil"/>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0.108</w:t>
            </w:r>
          </w:p>
        </w:tc>
        <w:tc>
          <w:tcPr>
            <w:tcW w:w="1036" w:type="dxa"/>
            <w:tcBorders>
              <w:top w:val="nil"/>
              <w:left w:val="nil"/>
              <w:bottom w:val="nil"/>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0.541**</w:t>
            </w:r>
          </w:p>
        </w:tc>
        <w:tc>
          <w:tcPr>
            <w:tcW w:w="692"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221D72"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0.463*</w:t>
            </w:r>
          </w:p>
        </w:tc>
        <w:tc>
          <w:tcPr>
            <w:tcW w:w="1036" w:type="dxa"/>
            <w:tcBorders>
              <w:top w:val="nil"/>
              <w:left w:val="nil"/>
              <w:bottom w:val="nil"/>
              <w:right w:val="nil"/>
            </w:tcBorders>
          </w:tcPr>
          <w:p w:rsidR="000A5021" w:rsidRPr="00221D72"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0.565*</w:t>
            </w:r>
          </w:p>
        </w:tc>
        <w:tc>
          <w:tcPr>
            <w:tcW w:w="1036" w:type="dxa"/>
            <w:tcBorders>
              <w:top w:val="nil"/>
              <w:left w:val="nil"/>
              <w:bottom w:val="nil"/>
              <w:right w:val="nil"/>
            </w:tcBorders>
          </w:tcPr>
          <w:p w:rsidR="000A5021" w:rsidRPr="00221D72"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0.457</w:t>
            </w:r>
          </w:p>
        </w:tc>
        <w:tc>
          <w:tcPr>
            <w:tcW w:w="1036" w:type="dxa"/>
            <w:tcBorders>
              <w:top w:val="nil"/>
              <w:left w:val="nil"/>
              <w:bottom w:val="nil"/>
              <w:right w:val="nil"/>
            </w:tcBorders>
          </w:tcPr>
          <w:p w:rsidR="000A5021" w:rsidRPr="00221D72"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0.858***</w:t>
            </w:r>
          </w:p>
        </w:tc>
      </w:tr>
      <w:tr w:rsidR="000A5021" w:rsidRPr="004E3829" w:rsidTr="007766C2">
        <w:trPr>
          <w:jc w:val="center"/>
        </w:trPr>
        <w:tc>
          <w:tcPr>
            <w:tcW w:w="1384"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rPr>
                <w:rFonts w:ascii="Times New Roman" w:hAnsi="Times New Roman" w:cs="Times New Roman"/>
                <w:sz w:val="16"/>
                <w:szCs w:val="16"/>
              </w:rPr>
            </w:pPr>
          </w:p>
        </w:tc>
        <w:tc>
          <w:tcPr>
            <w:tcW w:w="1039" w:type="dxa"/>
            <w:tcBorders>
              <w:top w:val="nil"/>
              <w:left w:val="nil"/>
              <w:bottom w:val="nil"/>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(0.328)</w:t>
            </w:r>
          </w:p>
        </w:tc>
        <w:tc>
          <w:tcPr>
            <w:tcW w:w="1037" w:type="dxa"/>
            <w:tcBorders>
              <w:top w:val="nil"/>
              <w:left w:val="nil"/>
              <w:bottom w:val="nil"/>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(0.335)</w:t>
            </w:r>
          </w:p>
        </w:tc>
        <w:tc>
          <w:tcPr>
            <w:tcW w:w="1036" w:type="dxa"/>
            <w:tcBorders>
              <w:top w:val="nil"/>
              <w:left w:val="nil"/>
              <w:bottom w:val="nil"/>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(0.337)</w:t>
            </w:r>
          </w:p>
        </w:tc>
        <w:tc>
          <w:tcPr>
            <w:tcW w:w="1036" w:type="dxa"/>
            <w:tcBorders>
              <w:top w:val="nil"/>
              <w:left w:val="nil"/>
              <w:bottom w:val="nil"/>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(0.231)</w:t>
            </w:r>
          </w:p>
        </w:tc>
        <w:tc>
          <w:tcPr>
            <w:tcW w:w="692"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221D72"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(0.268)</w:t>
            </w:r>
          </w:p>
        </w:tc>
        <w:tc>
          <w:tcPr>
            <w:tcW w:w="1036" w:type="dxa"/>
            <w:tcBorders>
              <w:top w:val="nil"/>
              <w:left w:val="nil"/>
              <w:bottom w:val="nil"/>
              <w:right w:val="nil"/>
            </w:tcBorders>
          </w:tcPr>
          <w:p w:rsidR="000A5021" w:rsidRPr="00221D72"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(0.279)</w:t>
            </w:r>
          </w:p>
        </w:tc>
        <w:tc>
          <w:tcPr>
            <w:tcW w:w="1036" w:type="dxa"/>
            <w:tcBorders>
              <w:top w:val="nil"/>
              <w:left w:val="nil"/>
              <w:bottom w:val="nil"/>
              <w:right w:val="nil"/>
            </w:tcBorders>
          </w:tcPr>
          <w:p w:rsidR="000A5021" w:rsidRPr="00221D72"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(0.280)</w:t>
            </w:r>
          </w:p>
        </w:tc>
        <w:tc>
          <w:tcPr>
            <w:tcW w:w="1036" w:type="dxa"/>
            <w:tcBorders>
              <w:top w:val="nil"/>
              <w:left w:val="nil"/>
              <w:bottom w:val="nil"/>
              <w:right w:val="nil"/>
            </w:tcBorders>
          </w:tcPr>
          <w:p w:rsidR="000A5021" w:rsidRPr="00221D72"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(0.151)</w:t>
            </w:r>
          </w:p>
        </w:tc>
      </w:tr>
      <w:tr w:rsidR="000A5021" w:rsidRPr="004E3829" w:rsidTr="007766C2">
        <w:trPr>
          <w:trHeight w:val="225"/>
          <w:jc w:val="center"/>
        </w:trPr>
        <w:tc>
          <w:tcPr>
            <w:tcW w:w="1384"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rPr>
                <w:rFonts w:ascii="Times New Roman" w:hAnsi="Times New Roman" w:cs="Times New Roman"/>
                <w:sz w:val="16"/>
                <w:szCs w:val="16"/>
              </w:rPr>
            </w:pPr>
            <w:r w:rsidRPr="004E3829">
              <w:rPr>
                <w:rFonts w:ascii="Times New Roman" w:hAnsi="Times New Roman" w:cs="Times New Roman"/>
                <w:sz w:val="16"/>
                <w:szCs w:val="16"/>
              </w:rPr>
              <w:t>GDP_GRO</w:t>
            </w:r>
          </w:p>
        </w:tc>
        <w:tc>
          <w:tcPr>
            <w:tcW w:w="1039" w:type="dxa"/>
            <w:tcBorders>
              <w:top w:val="nil"/>
              <w:left w:val="nil"/>
              <w:bottom w:val="nil"/>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0.0110*</w:t>
            </w:r>
          </w:p>
        </w:tc>
        <w:tc>
          <w:tcPr>
            <w:tcW w:w="1037"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0.009</w:t>
            </w:r>
            <w:r>
              <w:rPr>
                <w:rFonts w:ascii="Times New Roman" w:hAnsi="Times New Roman"/>
                <w:sz w:val="16"/>
                <w:szCs w:val="24"/>
              </w:rPr>
              <w:t>3</w:t>
            </w:r>
          </w:p>
        </w:tc>
        <w:tc>
          <w:tcPr>
            <w:tcW w:w="1036"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Pr>
                <w:rFonts w:ascii="Times New Roman" w:hAnsi="Times New Roman"/>
                <w:sz w:val="16"/>
                <w:szCs w:val="24"/>
              </w:rPr>
              <w:t>0.0098</w:t>
            </w:r>
            <w:r w:rsidRPr="00195D43">
              <w:rPr>
                <w:rFonts w:ascii="Times New Roman" w:hAnsi="Times New Roman"/>
                <w:sz w:val="16"/>
                <w:szCs w:val="24"/>
              </w:rPr>
              <w:t>*</w:t>
            </w:r>
          </w:p>
        </w:tc>
        <w:tc>
          <w:tcPr>
            <w:tcW w:w="1036"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0.0082</w:t>
            </w:r>
          </w:p>
        </w:tc>
        <w:tc>
          <w:tcPr>
            <w:tcW w:w="692"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0.0029</w:t>
            </w: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w:t>
            </w:r>
            <w:r>
              <w:rPr>
                <w:rFonts w:ascii="Times New Roman" w:hAnsi="Times New Roman"/>
                <w:sz w:val="16"/>
                <w:szCs w:val="24"/>
              </w:rPr>
              <w:t>20</w:t>
            </w: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0.001</w:t>
            </w:r>
            <w:r>
              <w:rPr>
                <w:rFonts w:ascii="Times New Roman" w:hAnsi="Times New Roman"/>
                <w:sz w:val="16"/>
                <w:szCs w:val="24"/>
              </w:rPr>
              <w:t>9</w:t>
            </w: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-0.0012</w:t>
            </w:r>
          </w:p>
        </w:tc>
      </w:tr>
      <w:tr w:rsidR="000A5021" w:rsidRPr="004E3829" w:rsidTr="007766C2">
        <w:trPr>
          <w:jc w:val="center"/>
        </w:trPr>
        <w:tc>
          <w:tcPr>
            <w:tcW w:w="1384"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rPr>
                <w:rFonts w:ascii="Times New Roman" w:hAnsi="Times New Roman" w:cs="Times New Roman"/>
                <w:sz w:val="16"/>
                <w:szCs w:val="16"/>
              </w:rPr>
            </w:pPr>
          </w:p>
        </w:tc>
        <w:tc>
          <w:tcPr>
            <w:tcW w:w="1039"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w:t>
            </w:r>
            <w:r>
              <w:rPr>
                <w:rFonts w:ascii="Times New Roman" w:hAnsi="Times New Roman"/>
                <w:sz w:val="16"/>
                <w:szCs w:val="24"/>
              </w:rPr>
              <w:t>60</w:t>
            </w:r>
            <w:r w:rsidRPr="00195D43">
              <w:rPr>
                <w:rFonts w:ascii="Times New Roman" w:hAnsi="Times New Roman"/>
                <w:sz w:val="16"/>
                <w:szCs w:val="24"/>
              </w:rPr>
              <w:t>)</w:t>
            </w:r>
          </w:p>
        </w:tc>
        <w:tc>
          <w:tcPr>
            <w:tcW w:w="1037"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(0.0061)</w:t>
            </w:r>
          </w:p>
        </w:tc>
        <w:tc>
          <w:tcPr>
            <w:tcW w:w="1036"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(0.0058)</w:t>
            </w:r>
          </w:p>
        </w:tc>
        <w:tc>
          <w:tcPr>
            <w:tcW w:w="1036"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(0.0061)</w:t>
            </w:r>
          </w:p>
        </w:tc>
        <w:tc>
          <w:tcPr>
            <w:tcW w:w="692"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(0.0043)</w:t>
            </w: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(0.0044)</w:t>
            </w: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(0.0043)</w:t>
            </w: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(0.0032)</w:t>
            </w:r>
          </w:p>
        </w:tc>
      </w:tr>
      <w:tr w:rsidR="000A5021" w:rsidRPr="004E3829" w:rsidTr="007766C2">
        <w:trPr>
          <w:jc w:val="center"/>
        </w:trPr>
        <w:tc>
          <w:tcPr>
            <w:tcW w:w="1384" w:type="dxa"/>
            <w:tcBorders>
              <w:top w:val="nil"/>
              <w:left w:val="nil"/>
              <w:bottom w:val="nil"/>
              <w:right w:val="nil"/>
            </w:tcBorders>
          </w:tcPr>
          <w:p w:rsidR="000A5021" w:rsidRPr="004E3829" w:rsidRDefault="000A5021" w:rsidP="004E3829">
            <w:pPr>
              <w:widowControl w:val="0"/>
              <w:autoSpaceDE w:val="0"/>
              <w:autoSpaceDN w:val="0"/>
              <w:adjustRightInd w:val="0"/>
              <w:spacing w:after="0" w:line="240" w:lineRule="auto"/>
              <w:rPr>
                <w:rFonts w:ascii="Times New Roman" w:hAnsi="Times New Roman" w:cs="Times New Roman"/>
                <w:sz w:val="16"/>
                <w:szCs w:val="16"/>
              </w:rPr>
            </w:pPr>
            <w:r w:rsidRPr="004E3829">
              <w:rPr>
                <w:rFonts w:ascii="Times New Roman" w:hAnsi="Times New Roman" w:cs="Times New Roman"/>
                <w:sz w:val="16"/>
                <w:szCs w:val="16"/>
              </w:rPr>
              <w:t>FIN_MKT</w:t>
            </w:r>
          </w:p>
        </w:tc>
        <w:tc>
          <w:tcPr>
            <w:tcW w:w="1039"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w:t>
            </w:r>
            <w:r>
              <w:rPr>
                <w:rFonts w:ascii="Times New Roman" w:hAnsi="Times New Roman"/>
                <w:sz w:val="16"/>
                <w:szCs w:val="24"/>
              </w:rPr>
              <w:t>10</w:t>
            </w:r>
            <w:r w:rsidRPr="00195D43">
              <w:rPr>
                <w:rFonts w:ascii="Times New Roman" w:hAnsi="Times New Roman"/>
                <w:sz w:val="16"/>
                <w:szCs w:val="24"/>
              </w:rPr>
              <w:t>*</w:t>
            </w:r>
          </w:p>
        </w:tc>
        <w:tc>
          <w:tcPr>
            <w:tcW w:w="1037"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0.0017***</w:t>
            </w:r>
          </w:p>
        </w:tc>
        <w:tc>
          <w:tcPr>
            <w:tcW w:w="1036"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0.0008**</w:t>
            </w:r>
          </w:p>
        </w:tc>
        <w:tc>
          <w:tcPr>
            <w:tcW w:w="1036" w:type="dxa"/>
            <w:tcBorders>
              <w:top w:val="nil"/>
              <w:left w:val="nil"/>
              <w:bottom w:val="nil"/>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w:t>
            </w:r>
          </w:p>
        </w:tc>
        <w:tc>
          <w:tcPr>
            <w:tcW w:w="692"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0.0005**</w:t>
            </w: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0.0021***</w:t>
            </w: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0.0006**</w:t>
            </w:r>
          </w:p>
        </w:tc>
        <w:tc>
          <w:tcPr>
            <w:tcW w:w="1036" w:type="dxa"/>
            <w:tcBorders>
              <w:top w:val="nil"/>
              <w:left w:val="nil"/>
              <w:bottom w:val="nil"/>
              <w:right w:val="nil"/>
            </w:tcBorders>
          </w:tcPr>
          <w:p w:rsidR="000A5021" w:rsidRPr="00221D72"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w:t>
            </w:r>
          </w:p>
        </w:tc>
      </w:tr>
      <w:tr w:rsidR="000A5021" w:rsidRPr="004E3829" w:rsidTr="007766C2">
        <w:trPr>
          <w:jc w:val="center"/>
        </w:trPr>
        <w:tc>
          <w:tcPr>
            <w:tcW w:w="1384"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rPr>
                <w:rFonts w:ascii="Times New Roman" w:hAnsi="Times New Roman" w:cs="Times New Roman"/>
                <w:sz w:val="16"/>
                <w:szCs w:val="16"/>
              </w:rPr>
            </w:pPr>
          </w:p>
        </w:tc>
        <w:tc>
          <w:tcPr>
            <w:tcW w:w="1039"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(0.000</w:t>
            </w:r>
            <w:r>
              <w:rPr>
                <w:rFonts w:ascii="Times New Roman" w:hAnsi="Times New Roman"/>
                <w:sz w:val="16"/>
                <w:szCs w:val="24"/>
              </w:rPr>
              <w:t>5</w:t>
            </w:r>
            <w:r w:rsidRPr="00195D43">
              <w:rPr>
                <w:rFonts w:ascii="Times New Roman" w:hAnsi="Times New Roman"/>
                <w:sz w:val="16"/>
                <w:szCs w:val="24"/>
              </w:rPr>
              <w:t>)</w:t>
            </w:r>
          </w:p>
        </w:tc>
        <w:tc>
          <w:tcPr>
            <w:tcW w:w="1037"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(0.0005)</w:t>
            </w:r>
          </w:p>
        </w:tc>
        <w:tc>
          <w:tcPr>
            <w:tcW w:w="1036"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(0.0003)</w:t>
            </w:r>
          </w:p>
        </w:tc>
        <w:tc>
          <w:tcPr>
            <w:tcW w:w="1036" w:type="dxa"/>
            <w:tcBorders>
              <w:top w:val="nil"/>
              <w:left w:val="nil"/>
              <w:bottom w:val="nil"/>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p>
        </w:tc>
        <w:tc>
          <w:tcPr>
            <w:tcW w:w="692"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(0.0002)</w:t>
            </w: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(0.0006)</w:t>
            </w: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(0.0002)</w:t>
            </w:r>
          </w:p>
        </w:tc>
        <w:tc>
          <w:tcPr>
            <w:tcW w:w="1036" w:type="dxa"/>
            <w:tcBorders>
              <w:top w:val="nil"/>
              <w:left w:val="nil"/>
              <w:bottom w:val="nil"/>
              <w:right w:val="nil"/>
            </w:tcBorders>
          </w:tcPr>
          <w:p w:rsidR="000A5021" w:rsidRPr="00221D72" w:rsidRDefault="000A5021" w:rsidP="005A07A2">
            <w:pPr>
              <w:widowControl w:val="0"/>
              <w:autoSpaceDE w:val="0"/>
              <w:autoSpaceDN w:val="0"/>
              <w:adjustRightInd w:val="0"/>
              <w:spacing w:after="0" w:line="240" w:lineRule="auto"/>
              <w:jc w:val="center"/>
              <w:rPr>
                <w:rFonts w:ascii="Times New Roman" w:hAnsi="Times New Roman"/>
                <w:sz w:val="16"/>
                <w:szCs w:val="24"/>
              </w:rPr>
            </w:pPr>
          </w:p>
        </w:tc>
      </w:tr>
      <w:tr w:rsidR="000A5021" w:rsidRPr="004E3829" w:rsidTr="005A07A2">
        <w:trPr>
          <w:jc w:val="center"/>
        </w:trPr>
        <w:tc>
          <w:tcPr>
            <w:tcW w:w="1384" w:type="dxa"/>
            <w:tcBorders>
              <w:top w:val="nil"/>
              <w:left w:val="nil"/>
              <w:bottom w:val="nil"/>
              <w:right w:val="nil"/>
            </w:tcBorders>
          </w:tcPr>
          <w:p w:rsidR="000A5021" w:rsidRPr="004E3829" w:rsidRDefault="000A5021" w:rsidP="004E3829">
            <w:pPr>
              <w:widowControl w:val="0"/>
              <w:autoSpaceDE w:val="0"/>
              <w:autoSpaceDN w:val="0"/>
              <w:adjustRightInd w:val="0"/>
              <w:spacing w:after="0" w:line="240" w:lineRule="auto"/>
              <w:rPr>
                <w:rFonts w:ascii="Times New Roman" w:hAnsi="Times New Roman" w:cs="Times New Roman"/>
                <w:sz w:val="16"/>
                <w:szCs w:val="16"/>
              </w:rPr>
            </w:pPr>
            <w:r w:rsidRPr="004E3829">
              <w:rPr>
                <w:rFonts w:ascii="Times New Roman" w:hAnsi="Times New Roman" w:cs="Times New Roman"/>
                <w:sz w:val="16"/>
                <w:szCs w:val="16"/>
              </w:rPr>
              <w:t>FIN_MKT×</w:t>
            </w:r>
            <w:r>
              <w:rPr>
                <w:rFonts w:ascii="Times New Roman" w:hAnsi="Times New Roman" w:cs="Times New Roman"/>
                <w:sz w:val="16"/>
                <w:szCs w:val="16"/>
              </w:rPr>
              <w:t>Q</w:t>
            </w:r>
            <w:r w:rsidRPr="000277B2">
              <w:rPr>
                <w:rFonts w:ascii="Times New Roman" w:hAnsi="Times New Roman" w:cs="Times New Roman"/>
                <w:sz w:val="16"/>
                <w:szCs w:val="16"/>
              </w:rPr>
              <w:t>4</w:t>
            </w:r>
            <w:r>
              <w:rPr>
                <w:rFonts w:ascii="Times New Roman" w:hAnsi="Times New Roman" w:cs="Times New Roman"/>
                <w:sz w:val="16"/>
                <w:szCs w:val="16"/>
              </w:rPr>
              <w:t xml:space="preserve"> Dummy</w:t>
            </w:r>
          </w:p>
        </w:tc>
        <w:tc>
          <w:tcPr>
            <w:tcW w:w="1039"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-0.000</w:t>
            </w:r>
            <w:r>
              <w:rPr>
                <w:rFonts w:ascii="Times New Roman" w:hAnsi="Times New Roman"/>
                <w:sz w:val="16"/>
                <w:szCs w:val="24"/>
              </w:rPr>
              <w:t>4</w:t>
            </w:r>
            <w:r w:rsidRPr="00195D43">
              <w:rPr>
                <w:rFonts w:ascii="Times New Roman" w:hAnsi="Times New Roman"/>
                <w:sz w:val="16"/>
                <w:szCs w:val="24"/>
              </w:rPr>
              <w:t>*</w:t>
            </w:r>
          </w:p>
        </w:tc>
        <w:tc>
          <w:tcPr>
            <w:tcW w:w="1037"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-0.001</w:t>
            </w:r>
            <w:r>
              <w:rPr>
                <w:rFonts w:ascii="Times New Roman" w:hAnsi="Times New Roman"/>
                <w:sz w:val="16"/>
                <w:szCs w:val="24"/>
              </w:rPr>
              <w:t>7</w:t>
            </w:r>
            <w:r w:rsidRPr="00195D43">
              <w:rPr>
                <w:rFonts w:ascii="Times New Roman" w:hAnsi="Times New Roman"/>
                <w:sz w:val="16"/>
                <w:szCs w:val="24"/>
              </w:rPr>
              <w:t>***</w:t>
            </w:r>
          </w:p>
        </w:tc>
        <w:tc>
          <w:tcPr>
            <w:tcW w:w="1036"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-0.0006**</w:t>
            </w:r>
          </w:p>
        </w:tc>
        <w:tc>
          <w:tcPr>
            <w:tcW w:w="1036" w:type="dxa"/>
            <w:tcBorders>
              <w:top w:val="nil"/>
              <w:left w:val="nil"/>
              <w:bottom w:val="nil"/>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-0.0207***</w:t>
            </w:r>
          </w:p>
        </w:tc>
        <w:tc>
          <w:tcPr>
            <w:tcW w:w="692" w:type="dxa"/>
            <w:tcBorders>
              <w:top w:val="nil"/>
              <w:left w:val="nil"/>
              <w:bottom w:val="nil"/>
              <w:right w:val="nil"/>
            </w:tcBorders>
            <w:vAlign w:val="bottom"/>
          </w:tcPr>
          <w:p w:rsidR="000A5021" w:rsidRPr="004E3829" w:rsidRDefault="000A5021" w:rsidP="003F0CA6">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-0.000</w:t>
            </w:r>
            <w:r>
              <w:rPr>
                <w:rFonts w:ascii="Times New Roman" w:hAnsi="Times New Roman"/>
                <w:sz w:val="16"/>
                <w:szCs w:val="24"/>
              </w:rPr>
              <w:t>4</w:t>
            </w:r>
            <w:r w:rsidRPr="00221D72">
              <w:rPr>
                <w:rFonts w:ascii="Times New Roman" w:hAnsi="Times New Roman"/>
                <w:sz w:val="16"/>
                <w:szCs w:val="24"/>
              </w:rPr>
              <w:t>**</w:t>
            </w: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-0.0025***</w:t>
            </w: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-0.000</w:t>
            </w:r>
            <w:r>
              <w:rPr>
                <w:rFonts w:ascii="Times New Roman" w:hAnsi="Times New Roman"/>
                <w:sz w:val="16"/>
                <w:szCs w:val="24"/>
              </w:rPr>
              <w:t>5</w:t>
            </w:r>
            <w:r w:rsidRPr="00221D72">
              <w:rPr>
                <w:rFonts w:ascii="Times New Roman" w:hAnsi="Times New Roman"/>
                <w:sz w:val="16"/>
                <w:szCs w:val="24"/>
              </w:rPr>
              <w:t>**</w:t>
            </w:r>
          </w:p>
        </w:tc>
        <w:tc>
          <w:tcPr>
            <w:tcW w:w="1036" w:type="dxa"/>
            <w:tcBorders>
              <w:top w:val="nil"/>
              <w:left w:val="nil"/>
              <w:bottom w:val="nil"/>
              <w:right w:val="nil"/>
            </w:tcBorders>
          </w:tcPr>
          <w:p w:rsidR="000A5021" w:rsidRPr="00221D72"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-0.0184**</w:t>
            </w:r>
          </w:p>
        </w:tc>
      </w:tr>
      <w:tr w:rsidR="000A5021" w:rsidRPr="004E3829" w:rsidTr="007766C2">
        <w:trPr>
          <w:jc w:val="center"/>
        </w:trPr>
        <w:tc>
          <w:tcPr>
            <w:tcW w:w="1384"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rPr>
                <w:rFonts w:ascii="Times New Roman" w:hAnsi="Times New Roman" w:cs="Times New Roman"/>
                <w:sz w:val="16"/>
                <w:szCs w:val="16"/>
              </w:rPr>
            </w:pPr>
          </w:p>
        </w:tc>
        <w:tc>
          <w:tcPr>
            <w:tcW w:w="1039"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(0.0002)</w:t>
            </w:r>
          </w:p>
        </w:tc>
        <w:tc>
          <w:tcPr>
            <w:tcW w:w="1037"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(0.000</w:t>
            </w:r>
            <w:r>
              <w:rPr>
                <w:rFonts w:ascii="Times New Roman" w:hAnsi="Times New Roman"/>
                <w:sz w:val="16"/>
                <w:szCs w:val="24"/>
              </w:rPr>
              <w:t>4</w:t>
            </w:r>
            <w:r w:rsidRPr="00195D43">
              <w:rPr>
                <w:rFonts w:ascii="Times New Roman" w:hAnsi="Times New Roman"/>
                <w:sz w:val="16"/>
                <w:szCs w:val="24"/>
              </w:rPr>
              <w:t>)</w:t>
            </w:r>
          </w:p>
        </w:tc>
        <w:tc>
          <w:tcPr>
            <w:tcW w:w="1036"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(0.0002)</w:t>
            </w:r>
          </w:p>
        </w:tc>
        <w:tc>
          <w:tcPr>
            <w:tcW w:w="1036" w:type="dxa"/>
            <w:tcBorders>
              <w:top w:val="nil"/>
              <w:left w:val="nil"/>
              <w:bottom w:val="nil"/>
              <w:right w:val="nil"/>
            </w:tcBorders>
          </w:tcPr>
          <w:p w:rsidR="000A5021" w:rsidRPr="00195D43"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(0.0073)</w:t>
            </w:r>
          </w:p>
        </w:tc>
        <w:tc>
          <w:tcPr>
            <w:tcW w:w="692"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(0.0001)</w:t>
            </w: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(0.000</w:t>
            </w:r>
            <w:r>
              <w:rPr>
                <w:rFonts w:ascii="Times New Roman" w:hAnsi="Times New Roman"/>
                <w:sz w:val="16"/>
                <w:szCs w:val="24"/>
              </w:rPr>
              <w:t>4</w:t>
            </w:r>
            <w:r w:rsidRPr="00221D72">
              <w:rPr>
                <w:rFonts w:ascii="Times New Roman" w:hAnsi="Times New Roman"/>
                <w:sz w:val="16"/>
                <w:szCs w:val="24"/>
              </w:rPr>
              <w:t>)</w:t>
            </w: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(0.0002)</w:t>
            </w:r>
          </w:p>
        </w:tc>
        <w:tc>
          <w:tcPr>
            <w:tcW w:w="1036" w:type="dxa"/>
            <w:tcBorders>
              <w:top w:val="nil"/>
              <w:left w:val="nil"/>
              <w:bottom w:val="nil"/>
              <w:right w:val="nil"/>
            </w:tcBorders>
          </w:tcPr>
          <w:p w:rsidR="000A5021" w:rsidRPr="00221D72" w:rsidRDefault="000A5021" w:rsidP="003A641B">
            <w:pPr>
              <w:widowControl w:val="0"/>
              <w:autoSpaceDE w:val="0"/>
              <w:autoSpaceDN w:val="0"/>
              <w:adjustRightInd w:val="0"/>
              <w:spacing w:after="0" w:line="240" w:lineRule="auto"/>
              <w:jc w:val="center"/>
              <w:rPr>
                <w:rFonts w:ascii="Times New Roman" w:hAnsi="Times New Roman"/>
                <w:sz w:val="16"/>
                <w:szCs w:val="24"/>
              </w:rPr>
            </w:pPr>
            <w:r w:rsidRPr="00221D72">
              <w:rPr>
                <w:rFonts w:ascii="Times New Roman" w:hAnsi="Times New Roman"/>
                <w:sz w:val="16"/>
                <w:szCs w:val="24"/>
              </w:rPr>
              <w:t>(0.0074)</w:t>
            </w:r>
          </w:p>
        </w:tc>
      </w:tr>
      <w:tr w:rsidR="000A5021" w:rsidRPr="004E3829" w:rsidTr="007766C2">
        <w:trPr>
          <w:jc w:val="center"/>
        </w:trPr>
        <w:tc>
          <w:tcPr>
            <w:tcW w:w="1384"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rPr>
                <w:rFonts w:ascii="Times New Roman" w:hAnsi="Times New Roman" w:cs="Times New Roman"/>
                <w:sz w:val="16"/>
                <w:szCs w:val="16"/>
              </w:rPr>
            </w:pPr>
          </w:p>
        </w:tc>
        <w:tc>
          <w:tcPr>
            <w:tcW w:w="1039"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7"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692"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r>
      <w:tr w:rsidR="000A5021" w:rsidRPr="004E3829" w:rsidTr="007766C2">
        <w:trPr>
          <w:jc w:val="center"/>
        </w:trPr>
        <w:tc>
          <w:tcPr>
            <w:tcW w:w="1384" w:type="dxa"/>
            <w:tcBorders>
              <w:top w:val="nil"/>
              <w:left w:val="nil"/>
              <w:bottom w:val="nil"/>
              <w:right w:val="nil"/>
            </w:tcBorders>
            <w:vAlign w:val="center"/>
          </w:tcPr>
          <w:p w:rsidR="000A5021" w:rsidRPr="004E3829" w:rsidRDefault="000A5021" w:rsidP="007766C2">
            <w:pPr>
              <w:spacing w:after="0" w:line="240" w:lineRule="auto"/>
              <w:rPr>
                <w:rFonts w:ascii="Times New Roman" w:eastAsia="Times New Roman" w:hAnsi="Times New Roman" w:cs="Times New Roman"/>
                <w:sz w:val="16"/>
                <w:szCs w:val="16"/>
              </w:rPr>
            </w:pPr>
            <w:r w:rsidRPr="004E3829">
              <w:rPr>
                <w:rFonts w:ascii="Times New Roman" w:eastAsia="Times New Roman" w:hAnsi="Times New Roman" w:cs="Times New Roman"/>
                <w:sz w:val="16"/>
                <w:szCs w:val="16"/>
              </w:rPr>
              <w:t>Firm FE</w:t>
            </w:r>
          </w:p>
        </w:tc>
        <w:tc>
          <w:tcPr>
            <w:tcW w:w="1039"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Yes</w:t>
            </w:r>
          </w:p>
        </w:tc>
        <w:tc>
          <w:tcPr>
            <w:tcW w:w="1037"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Yes</w:t>
            </w: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Yes</w:t>
            </w: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Yes</w:t>
            </w:r>
          </w:p>
        </w:tc>
        <w:tc>
          <w:tcPr>
            <w:tcW w:w="692"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Yes</w:t>
            </w: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Yes</w:t>
            </w: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Yes</w:t>
            </w: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Yes</w:t>
            </w:r>
          </w:p>
        </w:tc>
      </w:tr>
      <w:tr w:rsidR="000A5021" w:rsidRPr="004E3829" w:rsidTr="007766C2">
        <w:trPr>
          <w:jc w:val="center"/>
        </w:trPr>
        <w:tc>
          <w:tcPr>
            <w:tcW w:w="1384" w:type="dxa"/>
            <w:tcBorders>
              <w:top w:val="nil"/>
              <w:left w:val="nil"/>
              <w:bottom w:val="nil"/>
              <w:right w:val="nil"/>
            </w:tcBorders>
            <w:vAlign w:val="center"/>
          </w:tcPr>
          <w:p w:rsidR="000A5021" w:rsidRPr="004E3829" w:rsidRDefault="000A5021" w:rsidP="007766C2">
            <w:pPr>
              <w:spacing w:after="0" w:line="240" w:lineRule="auto"/>
              <w:rPr>
                <w:rFonts w:ascii="Times New Roman" w:eastAsia="Times New Roman" w:hAnsi="Times New Roman" w:cs="Times New Roman"/>
                <w:sz w:val="16"/>
                <w:szCs w:val="16"/>
              </w:rPr>
            </w:pPr>
            <w:r w:rsidRPr="004E3829">
              <w:rPr>
                <w:rFonts w:ascii="Times New Roman" w:eastAsia="Times New Roman" w:hAnsi="Times New Roman" w:cs="Times New Roman"/>
                <w:sz w:val="16"/>
                <w:szCs w:val="16"/>
              </w:rPr>
              <w:t>Industry-Time FE</w:t>
            </w:r>
          </w:p>
        </w:tc>
        <w:tc>
          <w:tcPr>
            <w:tcW w:w="1039"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Yes</w:t>
            </w:r>
          </w:p>
        </w:tc>
        <w:tc>
          <w:tcPr>
            <w:tcW w:w="1037"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Yes</w:t>
            </w: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Yes</w:t>
            </w: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Yes</w:t>
            </w:r>
          </w:p>
        </w:tc>
        <w:tc>
          <w:tcPr>
            <w:tcW w:w="692"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Yes</w:t>
            </w: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Yes</w:t>
            </w: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Yes</w:t>
            </w:r>
          </w:p>
        </w:tc>
        <w:tc>
          <w:tcPr>
            <w:tcW w:w="1036"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Yes</w:t>
            </w:r>
          </w:p>
        </w:tc>
      </w:tr>
      <w:tr w:rsidR="000A5021" w:rsidRPr="004E3829" w:rsidTr="007766C2">
        <w:trPr>
          <w:jc w:val="center"/>
        </w:trPr>
        <w:tc>
          <w:tcPr>
            <w:tcW w:w="1384"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rPr>
                <w:rFonts w:ascii="Times New Roman" w:hAnsi="Times New Roman" w:cs="Times New Roman"/>
                <w:sz w:val="16"/>
                <w:szCs w:val="16"/>
              </w:rPr>
            </w:pPr>
            <w:r w:rsidRPr="004E3829">
              <w:rPr>
                <w:rFonts w:ascii="Times New Roman" w:hAnsi="Times New Roman" w:cs="Times New Roman"/>
                <w:sz w:val="16"/>
                <w:szCs w:val="16"/>
              </w:rPr>
              <w:t>Observations</w:t>
            </w:r>
          </w:p>
        </w:tc>
        <w:tc>
          <w:tcPr>
            <w:tcW w:w="1039" w:type="dxa"/>
            <w:tcBorders>
              <w:top w:val="nil"/>
              <w:left w:val="nil"/>
              <w:bottom w:val="nil"/>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187,771</w:t>
            </w:r>
          </w:p>
        </w:tc>
        <w:tc>
          <w:tcPr>
            <w:tcW w:w="1037" w:type="dxa"/>
            <w:tcBorders>
              <w:top w:val="nil"/>
              <w:left w:val="nil"/>
              <w:bottom w:val="nil"/>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193,881</w:t>
            </w:r>
          </w:p>
        </w:tc>
        <w:tc>
          <w:tcPr>
            <w:tcW w:w="1036" w:type="dxa"/>
            <w:tcBorders>
              <w:top w:val="nil"/>
              <w:left w:val="nil"/>
              <w:bottom w:val="nil"/>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175,234</w:t>
            </w:r>
          </w:p>
        </w:tc>
        <w:tc>
          <w:tcPr>
            <w:tcW w:w="1036" w:type="dxa"/>
            <w:tcBorders>
              <w:top w:val="nil"/>
              <w:left w:val="nil"/>
              <w:bottom w:val="nil"/>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199,113</w:t>
            </w:r>
          </w:p>
        </w:tc>
        <w:tc>
          <w:tcPr>
            <w:tcW w:w="692" w:type="dxa"/>
            <w:tcBorders>
              <w:top w:val="nil"/>
              <w:left w:val="nil"/>
              <w:bottom w:val="nil"/>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101,422</w:t>
            </w:r>
          </w:p>
        </w:tc>
        <w:tc>
          <w:tcPr>
            <w:tcW w:w="103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115,700</w:t>
            </w:r>
          </w:p>
        </w:tc>
        <w:tc>
          <w:tcPr>
            <w:tcW w:w="103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97,052</w:t>
            </w:r>
          </w:p>
        </w:tc>
        <w:tc>
          <w:tcPr>
            <w:tcW w:w="1036" w:type="dxa"/>
            <w:tcBorders>
              <w:top w:val="nil"/>
              <w:left w:val="nil"/>
              <w:bottom w:val="nil"/>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112,764</w:t>
            </w:r>
          </w:p>
        </w:tc>
      </w:tr>
      <w:tr w:rsidR="000A5021" w:rsidRPr="004E3829" w:rsidTr="00F27DF1">
        <w:tblPrEx>
          <w:tblBorders>
            <w:bottom w:val="single" w:sz="6" w:space="0" w:color="auto"/>
          </w:tblBorders>
        </w:tblPrEx>
        <w:trPr>
          <w:jc w:val="center"/>
        </w:trPr>
        <w:tc>
          <w:tcPr>
            <w:tcW w:w="1384" w:type="dxa"/>
            <w:tcBorders>
              <w:top w:val="nil"/>
              <w:left w:val="nil"/>
              <w:bottom w:val="double" w:sz="4" w:space="0" w:color="auto"/>
              <w:right w:val="nil"/>
            </w:tcBorders>
          </w:tcPr>
          <w:p w:rsidR="000A5021" w:rsidRPr="004E3829" w:rsidRDefault="000A5021" w:rsidP="007766C2">
            <w:pPr>
              <w:widowControl w:val="0"/>
              <w:autoSpaceDE w:val="0"/>
              <w:autoSpaceDN w:val="0"/>
              <w:adjustRightInd w:val="0"/>
              <w:spacing w:after="0" w:line="240" w:lineRule="auto"/>
              <w:rPr>
                <w:rFonts w:ascii="Times New Roman" w:hAnsi="Times New Roman" w:cs="Times New Roman"/>
                <w:sz w:val="16"/>
                <w:szCs w:val="16"/>
              </w:rPr>
            </w:pPr>
            <w:r w:rsidRPr="004E3829">
              <w:rPr>
                <w:rFonts w:ascii="Times New Roman" w:hAnsi="Times New Roman" w:cs="Times New Roman"/>
                <w:sz w:val="16"/>
                <w:szCs w:val="16"/>
              </w:rPr>
              <w:t>R-squared</w:t>
            </w:r>
          </w:p>
        </w:tc>
        <w:tc>
          <w:tcPr>
            <w:tcW w:w="1039" w:type="dxa"/>
            <w:tcBorders>
              <w:top w:val="nil"/>
              <w:left w:val="nil"/>
              <w:bottom w:val="double" w:sz="4" w:space="0" w:color="auto"/>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0.590</w:t>
            </w:r>
          </w:p>
        </w:tc>
        <w:tc>
          <w:tcPr>
            <w:tcW w:w="1037" w:type="dxa"/>
            <w:tcBorders>
              <w:top w:val="nil"/>
              <w:left w:val="nil"/>
              <w:bottom w:val="double" w:sz="4" w:space="0" w:color="auto"/>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0.585</w:t>
            </w:r>
          </w:p>
        </w:tc>
        <w:tc>
          <w:tcPr>
            <w:tcW w:w="1036" w:type="dxa"/>
            <w:tcBorders>
              <w:top w:val="nil"/>
              <w:left w:val="nil"/>
              <w:bottom w:val="double" w:sz="4" w:space="0" w:color="auto"/>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0.591</w:t>
            </w:r>
          </w:p>
        </w:tc>
        <w:tc>
          <w:tcPr>
            <w:tcW w:w="1036" w:type="dxa"/>
            <w:tcBorders>
              <w:top w:val="nil"/>
              <w:left w:val="nil"/>
              <w:bottom w:val="double" w:sz="4" w:space="0" w:color="auto"/>
              <w:right w:val="nil"/>
            </w:tcBorders>
          </w:tcPr>
          <w:p w:rsidR="000A5021" w:rsidRPr="00195D43"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195D43">
              <w:rPr>
                <w:rFonts w:ascii="Times New Roman" w:hAnsi="Times New Roman"/>
                <w:sz w:val="16"/>
                <w:szCs w:val="24"/>
              </w:rPr>
              <w:t>0.589</w:t>
            </w:r>
          </w:p>
        </w:tc>
        <w:tc>
          <w:tcPr>
            <w:tcW w:w="692" w:type="dxa"/>
            <w:tcBorders>
              <w:top w:val="nil"/>
              <w:left w:val="nil"/>
              <w:bottom w:val="double" w:sz="4" w:space="0" w:color="auto"/>
              <w:right w:val="nil"/>
            </w:tcBorders>
          </w:tcPr>
          <w:p w:rsidR="000A5021" w:rsidRPr="004E3829" w:rsidRDefault="000A5021" w:rsidP="007766C2">
            <w:pPr>
              <w:widowControl w:val="0"/>
              <w:autoSpaceDE w:val="0"/>
              <w:autoSpaceDN w:val="0"/>
              <w:adjustRightInd w:val="0"/>
              <w:spacing w:after="0" w:line="240" w:lineRule="auto"/>
              <w:jc w:val="center"/>
              <w:rPr>
                <w:rFonts w:ascii="Times New Roman" w:hAnsi="Times New Roman" w:cs="Times New Roman"/>
                <w:sz w:val="16"/>
                <w:szCs w:val="16"/>
              </w:rPr>
            </w:pPr>
          </w:p>
        </w:tc>
        <w:tc>
          <w:tcPr>
            <w:tcW w:w="1036" w:type="dxa"/>
            <w:tcBorders>
              <w:top w:val="nil"/>
              <w:left w:val="nil"/>
              <w:bottom w:val="double" w:sz="4" w:space="0" w:color="auto"/>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0.567</w:t>
            </w:r>
          </w:p>
        </w:tc>
        <w:tc>
          <w:tcPr>
            <w:tcW w:w="1036" w:type="dxa"/>
            <w:tcBorders>
              <w:top w:val="nil"/>
              <w:left w:val="nil"/>
              <w:bottom w:val="double" w:sz="4" w:space="0" w:color="auto"/>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0.563</w:t>
            </w:r>
          </w:p>
        </w:tc>
        <w:tc>
          <w:tcPr>
            <w:tcW w:w="1036" w:type="dxa"/>
            <w:tcBorders>
              <w:top w:val="nil"/>
              <w:left w:val="nil"/>
              <w:bottom w:val="double" w:sz="4" w:space="0" w:color="auto"/>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0.568</w:t>
            </w:r>
          </w:p>
        </w:tc>
        <w:tc>
          <w:tcPr>
            <w:tcW w:w="1036" w:type="dxa"/>
            <w:tcBorders>
              <w:top w:val="nil"/>
              <w:left w:val="nil"/>
              <w:bottom w:val="double" w:sz="4" w:space="0" w:color="auto"/>
              <w:right w:val="nil"/>
            </w:tcBorders>
          </w:tcPr>
          <w:p w:rsidR="000A5021" w:rsidRPr="004201F7" w:rsidRDefault="000A5021" w:rsidP="005A07A2">
            <w:pPr>
              <w:widowControl w:val="0"/>
              <w:autoSpaceDE w:val="0"/>
              <w:autoSpaceDN w:val="0"/>
              <w:adjustRightInd w:val="0"/>
              <w:spacing w:after="0" w:line="240" w:lineRule="auto"/>
              <w:jc w:val="center"/>
              <w:rPr>
                <w:rFonts w:ascii="Times New Roman" w:hAnsi="Times New Roman"/>
                <w:sz w:val="16"/>
                <w:szCs w:val="24"/>
              </w:rPr>
            </w:pPr>
            <w:r w:rsidRPr="004201F7">
              <w:rPr>
                <w:rFonts w:ascii="Times New Roman" w:hAnsi="Times New Roman"/>
                <w:sz w:val="16"/>
                <w:szCs w:val="24"/>
              </w:rPr>
              <w:t>0.569</w:t>
            </w:r>
          </w:p>
        </w:tc>
      </w:tr>
    </w:tbl>
    <w:p w:rsidR="00821BD4" w:rsidRPr="000277B2" w:rsidRDefault="007766C2" w:rsidP="00821BD4">
      <w:pPr>
        <w:rPr>
          <w:rFonts w:ascii="Times New Roman" w:hAnsi="Times New Roman" w:cs="Times New Roman"/>
          <w:sz w:val="16"/>
          <w:szCs w:val="16"/>
        </w:rPr>
      </w:pPr>
      <w:r>
        <w:rPr>
          <w:rFonts w:ascii="Times New Roman" w:hAnsi="Times New Roman" w:cs="Times New Roman"/>
          <w:sz w:val="16"/>
          <w:szCs w:val="16"/>
        </w:rPr>
        <w:br w:type="page"/>
      </w:r>
    </w:p>
    <w:p w:rsidR="00821BD4" w:rsidRPr="00EE1141" w:rsidRDefault="00821BD4" w:rsidP="00821BD4">
      <w:pPr>
        <w:rPr>
          <w:rFonts w:ascii="Times New Roman" w:hAnsi="Times New Roman" w:cs="Times New Roman"/>
        </w:rPr>
        <w:sectPr w:rsidR="00821BD4" w:rsidRPr="00EE1141" w:rsidSect="007766C2">
          <w:footnotePr>
            <w:numFmt w:val="chicago"/>
          </w:footnotePr>
          <w:pgSz w:w="12240" w:h="15840" w:code="1"/>
          <w:pgMar w:top="1440" w:right="1440" w:bottom="1267" w:left="1440" w:header="720" w:footer="720" w:gutter="0"/>
          <w:cols w:space="720"/>
          <w:docGrid w:linePitch="360"/>
        </w:sectPr>
      </w:pPr>
    </w:p>
    <w:p w:rsidR="005A5576" w:rsidRPr="00EE1141" w:rsidRDefault="00821BD4" w:rsidP="00821BD4">
      <w:pPr>
        <w:spacing w:after="120" w:line="240" w:lineRule="auto"/>
        <w:rPr>
          <w:rFonts w:ascii="Times New Roman" w:hAnsi="Times New Roman" w:cs="Times New Roman"/>
          <w:b/>
          <w:sz w:val="20"/>
          <w:szCs w:val="16"/>
        </w:rPr>
      </w:pPr>
      <w:r w:rsidRPr="00EE1141">
        <w:rPr>
          <w:rFonts w:ascii="Times New Roman" w:hAnsi="Times New Roman" w:cs="Times New Roman"/>
          <w:b/>
          <w:sz w:val="20"/>
          <w:szCs w:val="16"/>
        </w:rPr>
        <w:lastRenderedPageBreak/>
        <w:t xml:space="preserve">Table 6 </w:t>
      </w:r>
      <w:r w:rsidR="00130BF5">
        <w:rPr>
          <w:rFonts w:ascii="Times New Roman" w:hAnsi="Times New Roman" w:cs="Times New Roman"/>
          <w:b/>
          <w:sz w:val="20"/>
          <w:szCs w:val="16"/>
        </w:rPr>
        <w:t xml:space="preserve">– </w:t>
      </w:r>
      <w:r w:rsidR="005A5576">
        <w:rPr>
          <w:rFonts w:ascii="Times New Roman" w:hAnsi="Times New Roman" w:cs="Times New Roman"/>
          <w:b/>
          <w:sz w:val="20"/>
          <w:szCs w:val="16"/>
        </w:rPr>
        <w:t>Regression</w:t>
      </w:r>
      <w:r w:rsidR="005706AE">
        <w:rPr>
          <w:rFonts w:ascii="Times New Roman" w:hAnsi="Times New Roman" w:cs="Times New Roman"/>
          <w:b/>
          <w:sz w:val="20"/>
          <w:szCs w:val="16"/>
        </w:rPr>
        <w:t xml:space="preserve">s </w:t>
      </w:r>
      <w:r w:rsidR="00050F48">
        <w:rPr>
          <w:rFonts w:ascii="Times New Roman" w:hAnsi="Times New Roman" w:cs="Times New Roman"/>
          <w:b/>
          <w:sz w:val="20"/>
          <w:szCs w:val="16"/>
        </w:rPr>
        <w:t>U</w:t>
      </w:r>
      <w:r w:rsidR="005706AE">
        <w:rPr>
          <w:rFonts w:ascii="Times New Roman" w:hAnsi="Times New Roman" w:cs="Times New Roman"/>
          <w:b/>
          <w:sz w:val="20"/>
          <w:szCs w:val="16"/>
        </w:rPr>
        <w:t xml:space="preserve">sing </w:t>
      </w:r>
      <w:r w:rsidR="00050F48">
        <w:rPr>
          <w:rFonts w:ascii="Times New Roman" w:hAnsi="Times New Roman" w:cs="Times New Roman"/>
          <w:b/>
          <w:sz w:val="20"/>
          <w:szCs w:val="16"/>
        </w:rPr>
        <w:t>I</w:t>
      </w:r>
      <w:r w:rsidR="005706AE">
        <w:rPr>
          <w:rFonts w:ascii="Times New Roman" w:hAnsi="Times New Roman" w:cs="Times New Roman"/>
          <w:b/>
          <w:sz w:val="20"/>
          <w:szCs w:val="16"/>
        </w:rPr>
        <w:t xml:space="preserve">nstrumental </w:t>
      </w:r>
      <w:r w:rsidR="00050F48">
        <w:rPr>
          <w:rFonts w:ascii="Times New Roman" w:hAnsi="Times New Roman" w:cs="Times New Roman"/>
          <w:b/>
          <w:sz w:val="20"/>
          <w:szCs w:val="16"/>
        </w:rPr>
        <w:t>V</w:t>
      </w:r>
      <w:r w:rsidR="005706AE">
        <w:rPr>
          <w:rFonts w:ascii="Times New Roman" w:hAnsi="Times New Roman" w:cs="Times New Roman"/>
          <w:b/>
          <w:sz w:val="20"/>
          <w:szCs w:val="16"/>
        </w:rPr>
        <w:t>ariables for Tobin’s q and</w:t>
      </w:r>
      <w:r w:rsidR="005A5576">
        <w:rPr>
          <w:rFonts w:ascii="Times New Roman" w:hAnsi="Times New Roman" w:cs="Times New Roman"/>
          <w:b/>
          <w:sz w:val="20"/>
          <w:szCs w:val="16"/>
        </w:rPr>
        <w:t xml:space="preserve"> at Aggregate (Country) Level</w:t>
      </w:r>
    </w:p>
    <w:p w:rsidR="005706AE" w:rsidRPr="00EE1141" w:rsidRDefault="005706AE" w:rsidP="00130BF5">
      <w:pPr>
        <w:spacing w:after="120" w:line="240" w:lineRule="auto"/>
        <w:ind w:firstLine="288"/>
        <w:jc w:val="both"/>
        <w:rPr>
          <w:rFonts w:ascii="Times New Roman" w:hAnsi="Times New Roman" w:cs="Times New Roman"/>
          <w:sz w:val="16"/>
          <w:szCs w:val="16"/>
        </w:rPr>
      </w:pPr>
      <w:r>
        <w:rPr>
          <w:rFonts w:ascii="Times New Roman" w:hAnsi="Times New Roman" w:cs="Times New Roman"/>
          <w:sz w:val="16"/>
          <w:szCs w:val="16"/>
        </w:rPr>
        <w:t>Panel A</w:t>
      </w:r>
      <w:r w:rsidRPr="00EE1141">
        <w:rPr>
          <w:rFonts w:ascii="Times New Roman" w:hAnsi="Times New Roman" w:cs="Times New Roman"/>
          <w:sz w:val="16"/>
          <w:szCs w:val="16"/>
        </w:rPr>
        <w:t xml:space="preserve"> reports the results of </w:t>
      </w:r>
      <w:r>
        <w:rPr>
          <w:rFonts w:ascii="Times New Roman" w:hAnsi="Times New Roman" w:cs="Times New Roman"/>
          <w:sz w:val="16"/>
          <w:szCs w:val="16"/>
        </w:rPr>
        <w:t xml:space="preserve">2SLS </w:t>
      </w:r>
      <w:r w:rsidRPr="00EE1141">
        <w:rPr>
          <w:rFonts w:ascii="Times New Roman" w:hAnsi="Times New Roman" w:cs="Times New Roman"/>
          <w:sz w:val="16"/>
          <w:szCs w:val="16"/>
        </w:rPr>
        <w:t>regressions</w:t>
      </w:r>
      <w:r>
        <w:rPr>
          <w:rFonts w:ascii="Times New Roman" w:hAnsi="Times New Roman" w:cs="Times New Roman"/>
          <w:sz w:val="16"/>
          <w:szCs w:val="16"/>
        </w:rPr>
        <w:t xml:space="preserve"> for the full sample. The regression specification in the second stage is the same as that in Table 5, and Tobin’s q is estimated in the first stage using instrumental variables as 1-year and 2-year lagged Tobin’s q, as well as 1-year and 2-year lagged cash flows. The results are robust to variations of instrumental variable sets. </w:t>
      </w:r>
      <w:r w:rsidRPr="00EE1141">
        <w:rPr>
          <w:rFonts w:ascii="Times New Roman" w:hAnsi="Times New Roman" w:cs="Times New Roman"/>
          <w:sz w:val="16"/>
          <w:szCs w:val="16"/>
        </w:rPr>
        <w:t xml:space="preserve">We also add </w:t>
      </w:r>
      <w:r>
        <w:rPr>
          <w:rFonts w:ascii="Times New Roman" w:hAnsi="Times New Roman" w:cs="Times New Roman"/>
          <w:sz w:val="16"/>
          <w:szCs w:val="16"/>
        </w:rPr>
        <w:t>firm fixed effects and industry-year</w:t>
      </w:r>
      <w:r w:rsidRPr="00EE1141">
        <w:rPr>
          <w:rFonts w:ascii="Times New Roman" w:hAnsi="Times New Roman" w:cs="Times New Roman"/>
          <w:sz w:val="16"/>
          <w:szCs w:val="16"/>
        </w:rPr>
        <w:t xml:space="preserve"> fixed effects. </w:t>
      </w:r>
      <w:r>
        <w:rPr>
          <w:rFonts w:ascii="Times New Roman" w:hAnsi="Times New Roman" w:cs="Times New Roman"/>
          <w:sz w:val="16"/>
          <w:szCs w:val="16"/>
        </w:rPr>
        <w:t>COUNTRY</w:t>
      </w:r>
      <w:r w:rsidRPr="00EE1141">
        <w:rPr>
          <w:rFonts w:ascii="Times New Roman" w:hAnsi="Times New Roman" w:cs="Times New Roman"/>
          <w:sz w:val="16"/>
          <w:szCs w:val="16"/>
        </w:rPr>
        <w:t xml:space="preserve"> is used to represent country-level variables in each of the columns. </w:t>
      </w:r>
      <w:r w:rsidRPr="00EE1141">
        <w:rPr>
          <w:rFonts w:ascii="Times New Roman" w:hAnsi="Times New Roman" w:cs="Times New Roman"/>
          <w:sz w:val="16"/>
        </w:rPr>
        <w:t>The country characteristics are investor rights</w:t>
      </w:r>
      <w:r>
        <w:rPr>
          <w:rFonts w:ascii="Times New Roman" w:hAnsi="Times New Roman" w:cs="Times New Roman"/>
          <w:sz w:val="16"/>
        </w:rPr>
        <w:t xml:space="preserve"> and protection and</w:t>
      </w:r>
      <w:r w:rsidRPr="00EE1141">
        <w:rPr>
          <w:rFonts w:ascii="Times New Roman" w:hAnsi="Times New Roman" w:cs="Times New Roman"/>
          <w:sz w:val="16"/>
        </w:rPr>
        <w:t xml:space="preserve"> development of financial market</w:t>
      </w:r>
      <w:r w:rsidR="008C32AE">
        <w:rPr>
          <w:rFonts w:ascii="Times New Roman" w:hAnsi="Times New Roman" w:cs="Times New Roman"/>
          <w:sz w:val="16"/>
        </w:rPr>
        <w:t xml:space="preserve"> as in Table 4 and 5</w:t>
      </w:r>
      <w:r>
        <w:rPr>
          <w:rFonts w:ascii="Times New Roman" w:hAnsi="Times New Roman" w:cs="Times New Roman"/>
          <w:sz w:val="16"/>
        </w:rPr>
        <w:t xml:space="preserve">. </w:t>
      </w:r>
      <w:r w:rsidRPr="00EE1141">
        <w:rPr>
          <w:rFonts w:ascii="Times New Roman" w:hAnsi="Times New Roman" w:cs="Times New Roman"/>
          <w:sz w:val="16"/>
        </w:rPr>
        <w:t>GDP per c</w:t>
      </w:r>
      <w:r>
        <w:rPr>
          <w:rFonts w:ascii="Times New Roman" w:hAnsi="Times New Roman" w:cs="Times New Roman"/>
          <w:sz w:val="16"/>
        </w:rPr>
        <w:t>apita in constant 2005 US$ (GDP) and annual GDP growth (GDP_GRO) are controlled for</w:t>
      </w:r>
      <w:r w:rsidRPr="00EE1141">
        <w:rPr>
          <w:rFonts w:ascii="Times New Roman" w:hAnsi="Times New Roman" w:cs="Times New Roman"/>
          <w:sz w:val="16"/>
        </w:rPr>
        <w:t xml:space="preserve">. </w:t>
      </w:r>
      <w:r w:rsidRPr="00EE1141">
        <w:rPr>
          <w:rFonts w:ascii="Times New Roman" w:hAnsi="Times New Roman" w:cs="Times New Roman"/>
          <w:sz w:val="16"/>
          <w:szCs w:val="16"/>
        </w:rPr>
        <w:t>Robust standard errors are reported in parentheses. *, **, and *** indicate significance at the 10%, 5%, and 1% level, respectively. Standard errors are clustered at the country level. Firm-level controls are winsorized at the 1% tails. Our sample includes 4</w:t>
      </w:r>
      <w:r>
        <w:rPr>
          <w:rFonts w:ascii="Times New Roman" w:hAnsi="Times New Roman" w:cs="Times New Roman"/>
          <w:sz w:val="16"/>
          <w:szCs w:val="16"/>
        </w:rPr>
        <w:t>1</w:t>
      </w:r>
      <w:r w:rsidRPr="00EE1141">
        <w:rPr>
          <w:rFonts w:ascii="Times New Roman" w:hAnsi="Times New Roman" w:cs="Times New Roman"/>
          <w:sz w:val="16"/>
          <w:szCs w:val="16"/>
        </w:rPr>
        <w:t xml:space="preserve"> countries and covers the period 2005-2014 in fiscal years. </w:t>
      </w:r>
      <w:r w:rsidRPr="00EE1141">
        <w:rPr>
          <w:rFonts w:ascii="Times New Roman" w:hAnsi="Times New Roman" w:cs="Times New Roman"/>
          <w:sz w:val="16"/>
        </w:rPr>
        <w:t xml:space="preserve">The details of </w:t>
      </w:r>
      <w:r w:rsidR="00050F48">
        <w:rPr>
          <w:rFonts w:ascii="Times New Roman" w:hAnsi="Times New Roman" w:cs="Times New Roman"/>
          <w:sz w:val="16"/>
        </w:rPr>
        <w:t>the country-level</w:t>
      </w:r>
      <w:r w:rsidRPr="00EE1141">
        <w:rPr>
          <w:rFonts w:ascii="Times New Roman" w:hAnsi="Times New Roman" w:cs="Times New Roman"/>
          <w:sz w:val="16"/>
        </w:rPr>
        <w:t xml:space="preserve"> variables are provided in Appendix A.</w:t>
      </w:r>
    </w:p>
    <w:p w:rsidR="00821BD4" w:rsidRDefault="005706AE" w:rsidP="000516CE">
      <w:pPr>
        <w:spacing w:after="240" w:line="240" w:lineRule="auto"/>
        <w:ind w:firstLine="288"/>
        <w:jc w:val="both"/>
        <w:rPr>
          <w:rFonts w:ascii="Times New Roman" w:hAnsi="Times New Roman" w:cs="Times New Roman"/>
          <w:sz w:val="16"/>
        </w:rPr>
      </w:pPr>
      <w:r>
        <w:rPr>
          <w:rFonts w:ascii="Times New Roman" w:hAnsi="Times New Roman" w:cs="Times New Roman"/>
          <w:sz w:val="16"/>
          <w:szCs w:val="16"/>
        </w:rPr>
        <w:t>Panel B</w:t>
      </w:r>
      <w:r w:rsidR="00821BD4" w:rsidRPr="00EE1141">
        <w:rPr>
          <w:rFonts w:ascii="Times New Roman" w:hAnsi="Times New Roman" w:cs="Times New Roman"/>
          <w:sz w:val="16"/>
          <w:szCs w:val="16"/>
        </w:rPr>
        <w:t xml:space="preserve"> reports the results of regressions of aggregated capital expenditures </w:t>
      </w:r>
      <w:r w:rsidR="00F27DF1">
        <w:rPr>
          <w:rFonts w:ascii="Times New Roman" w:hAnsi="Times New Roman" w:cs="Times New Roman"/>
          <w:sz w:val="16"/>
          <w:szCs w:val="16"/>
        </w:rPr>
        <w:t>at</w:t>
      </w:r>
      <w:r w:rsidR="00821BD4" w:rsidRPr="00EE1141">
        <w:rPr>
          <w:rFonts w:ascii="Times New Roman" w:hAnsi="Times New Roman" w:cs="Times New Roman"/>
          <w:sz w:val="16"/>
          <w:szCs w:val="16"/>
        </w:rPr>
        <w:t xml:space="preserve"> country-level on aggregated firm-level variables and country-level variables and their interactions with 4</w:t>
      </w:r>
      <w:r w:rsidR="00821BD4" w:rsidRPr="00EE1141">
        <w:rPr>
          <w:rFonts w:ascii="Times New Roman" w:hAnsi="Times New Roman" w:cs="Times New Roman"/>
          <w:sz w:val="16"/>
          <w:szCs w:val="16"/>
          <w:vertAlign w:val="superscript"/>
        </w:rPr>
        <w:t>th</w:t>
      </w:r>
      <w:r w:rsidR="00821BD4" w:rsidRPr="00EE1141">
        <w:rPr>
          <w:rFonts w:ascii="Times New Roman" w:hAnsi="Times New Roman" w:cs="Times New Roman"/>
          <w:sz w:val="16"/>
          <w:szCs w:val="16"/>
        </w:rPr>
        <w:t xml:space="preserve"> fiscal quarter dummy. We also add </w:t>
      </w:r>
      <w:r w:rsidR="002C77BC">
        <w:rPr>
          <w:rFonts w:ascii="Times New Roman" w:hAnsi="Times New Roman" w:cs="Times New Roman"/>
          <w:sz w:val="16"/>
          <w:szCs w:val="16"/>
        </w:rPr>
        <w:t xml:space="preserve">country and </w:t>
      </w:r>
      <w:r w:rsidR="008C32AE">
        <w:rPr>
          <w:rFonts w:ascii="Times New Roman" w:hAnsi="Times New Roman" w:cs="Times New Roman"/>
          <w:sz w:val="16"/>
          <w:szCs w:val="16"/>
        </w:rPr>
        <w:t>industry-</w:t>
      </w:r>
      <w:r w:rsidR="002C77BC">
        <w:rPr>
          <w:rFonts w:ascii="Times New Roman" w:hAnsi="Times New Roman" w:cs="Times New Roman"/>
          <w:sz w:val="16"/>
          <w:szCs w:val="16"/>
        </w:rPr>
        <w:t>year</w:t>
      </w:r>
      <w:r w:rsidR="00821BD4" w:rsidRPr="00EE1141">
        <w:rPr>
          <w:rFonts w:ascii="Times New Roman" w:hAnsi="Times New Roman" w:cs="Times New Roman"/>
          <w:sz w:val="16"/>
          <w:szCs w:val="16"/>
        </w:rPr>
        <w:t xml:space="preserve"> fixed effects. </w:t>
      </w:r>
      <w:r w:rsidR="00FB55ED">
        <w:rPr>
          <w:rFonts w:ascii="Times New Roman" w:hAnsi="Times New Roman" w:cs="Times New Roman"/>
          <w:sz w:val="16"/>
          <w:szCs w:val="16"/>
        </w:rPr>
        <w:t>COUNTRY</w:t>
      </w:r>
      <w:r w:rsidR="00821BD4" w:rsidRPr="00EE1141">
        <w:rPr>
          <w:rFonts w:ascii="Times New Roman" w:hAnsi="Times New Roman" w:cs="Times New Roman"/>
          <w:sz w:val="16"/>
          <w:szCs w:val="16"/>
        </w:rPr>
        <w:t xml:space="preserve"> is used to represent country-level variables in each of the columns. </w:t>
      </w:r>
      <w:r w:rsidR="00FB55ED" w:rsidRPr="00EE1141">
        <w:rPr>
          <w:rFonts w:ascii="Times New Roman" w:hAnsi="Times New Roman" w:cs="Times New Roman"/>
          <w:sz w:val="16"/>
        </w:rPr>
        <w:t>The country characteristics are investor rights</w:t>
      </w:r>
      <w:r w:rsidR="00FB55ED">
        <w:rPr>
          <w:rFonts w:ascii="Times New Roman" w:hAnsi="Times New Roman" w:cs="Times New Roman"/>
          <w:sz w:val="16"/>
        </w:rPr>
        <w:t xml:space="preserve"> and protection</w:t>
      </w:r>
      <w:r w:rsidR="002C77BC">
        <w:rPr>
          <w:rFonts w:ascii="Times New Roman" w:hAnsi="Times New Roman" w:cs="Times New Roman"/>
          <w:sz w:val="16"/>
        </w:rPr>
        <w:t xml:space="preserve"> and</w:t>
      </w:r>
      <w:r w:rsidR="00FB55ED" w:rsidRPr="00EE1141">
        <w:rPr>
          <w:rFonts w:ascii="Times New Roman" w:hAnsi="Times New Roman" w:cs="Times New Roman"/>
          <w:sz w:val="16"/>
        </w:rPr>
        <w:t xml:space="preserve"> development of financial market</w:t>
      </w:r>
      <w:r w:rsidR="002C77BC">
        <w:rPr>
          <w:rFonts w:ascii="Times New Roman" w:hAnsi="Times New Roman" w:cs="Times New Roman"/>
          <w:sz w:val="16"/>
        </w:rPr>
        <w:t>.</w:t>
      </w:r>
      <w:r w:rsidR="00FB55ED">
        <w:rPr>
          <w:rFonts w:ascii="Times New Roman" w:hAnsi="Times New Roman" w:cs="Times New Roman"/>
          <w:sz w:val="16"/>
        </w:rPr>
        <w:t xml:space="preserve"> </w:t>
      </w:r>
      <w:r w:rsidR="00FB55ED" w:rsidRPr="00EE1141">
        <w:rPr>
          <w:rFonts w:ascii="Times New Roman" w:hAnsi="Times New Roman" w:cs="Times New Roman"/>
          <w:sz w:val="16"/>
        </w:rPr>
        <w:t>GDP per c</w:t>
      </w:r>
      <w:r w:rsidR="007049C6">
        <w:rPr>
          <w:rFonts w:ascii="Times New Roman" w:hAnsi="Times New Roman" w:cs="Times New Roman"/>
          <w:sz w:val="16"/>
        </w:rPr>
        <w:t>apita in constant 2005 US$ (GDP</w:t>
      </w:r>
      <w:r w:rsidR="00FB55ED">
        <w:rPr>
          <w:rFonts w:ascii="Times New Roman" w:hAnsi="Times New Roman" w:cs="Times New Roman"/>
          <w:sz w:val="16"/>
        </w:rPr>
        <w:t>) and annual GDP growth (GDP_GRO)</w:t>
      </w:r>
      <w:r w:rsidR="002C77BC">
        <w:rPr>
          <w:rFonts w:ascii="Times New Roman" w:hAnsi="Times New Roman" w:cs="Times New Roman"/>
          <w:sz w:val="16"/>
        </w:rPr>
        <w:t xml:space="preserve"> are controlled for</w:t>
      </w:r>
      <w:r w:rsidR="00FB55ED" w:rsidRPr="00EE1141">
        <w:rPr>
          <w:rFonts w:ascii="Times New Roman" w:hAnsi="Times New Roman" w:cs="Times New Roman"/>
          <w:sz w:val="16"/>
        </w:rPr>
        <w:t xml:space="preserve">. </w:t>
      </w:r>
      <w:r w:rsidR="00821BD4" w:rsidRPr="00EE1141">
        <w:rPr>
          <w:rFonts w:ascii="Times New Roman" w:hAnsi="Times New Roman" w:cs="Times New Roman"/>
          <w:sz w:val="16"/>
          <w:szCs w:val="16"/>
        </w:rPr>
        <w:t>Robust standard errors are reported in parentheses. *, **, and *** indicate significance at the 10%, 5%, and 1% level, respectively. Standard errors are clustered at the country level. Firm-level controls are winsorized at the 1% tails. Our sample includes 4</w:t>
      </w:r>
      <w:r w:rsidR="00FB55ED">
        <w:rPr>
          <w:rFonts w:ascii="Times New Roman" w:hAnsi="Times New Roman" w:cs="Times New Roman"/>
          <w:sz w:val="16"/>
          <w:szCs w:val="16"/>
        </w:rPr>
        <w:t>1</w:t>
      </w:r>
      <w:r w:rsidR="00821BD4" w:rsidRPr="00EE1141">
        <w:rPr>
          <w:rFonts w:ascii="Times New Roman" w:hAnsi="Times New Roman" w:cs="Times New Roman"/>
          <w:sz w:val="16"/>
          <w:szCs w:val="16"/>
        </w:rPr>
        <w:t xml:space="preserve"> countries and covers the period 2005-2014 in fiscal years. </w:t>
      </w:r>
      <w:r w:rsidR="00821BD4" w:rsidRPr="00EE1141">
        <w:rPr>
          <w:rFonts w:ascii="Times New Roman" w:hAnsi="Times New Roman" w:cs="Times New Roman"/>
          <w:sz w:val="16"/>
        </w:rPr>
        <w:t xml:space="preserve">The details of </w:t>
      </w:r>
      <w:r w:rsidR="00050F48">
        <w:rPr>
          <w:rFonts w:ascii="Times New Roman" w:hAnsi="Times New Roman" w:cs="Times New Roman"/>
          <w:sz w:val="16"/>
        </w:rPr>
        <w:t>the country-level</w:t>
      </w:r>
      <w:r w:rsidR="00050F48" w:rsidRPr="00EE1141">
        <w:rPr>
          <w:rFonts w:ascii="Times New Roman" w:hAnsi="Times New Roman" w:cs="Times New Roman"/>
          <w:sz w:val="16"/>
        </w:rPr>
        <w:t xml:space="preserve"> </w:t>
      </w:r>
      <w:r w:rsidR="00821BD4" w:rsidRPr="00EE1141">
        <w:rPr>
          <w:rFonts w:ascii="Times New Roman" w:hAnsi="Times New Roman" w:cs="Times New Roman"/>
          <w:sz w:val="16"/>
        </w:rPr>
        <w:t>variables are provided in Appendix A.</w:t>
      </w:r>
    </w:p>
    <w:tbl>
      <w:tblPr>
        <w:tblW w:w="0" w:type="auto"/>
        <w:jc w:val="center"/>
        <w:tblLayout w:type="fixed"/>
        <w:tblCellMar>
          <w:left w:w="75" w:type="dxa"/>
          <w:right w:w="75" w:type="dxa"/>
        </w:tblCellMar>
        <w:tblLook w:val="0000" w:firstRow="0" w:lastRow="0" w:firstColumn="0" w:lastColumn="0" w:noHBand="0" w:noVBand="0"/>
      </w:tblPr>
      <w:tblGrid>
        <w:gridCol w:w="1485"/>
        <w:gridCol w:w="1040"/>
        <w:gridCol w:w="1040"/>
        <w:gridCol w:w="1040"/>
        <w:gridCol w:w="1040"/>
        <w:gridCol w:w="1040"/>
        <w:gridCol w:w="1040"/>
        <w:gridCol w:w="1040"/>
        <w:gridCol w:w="1040"/>
        <w:gridCol w:w="1040"/>
        <w:gridCol w:w="1040"/>
        <w:gridCol w:w="1040"/>
      </w:tblGrid>
      <w:tr w:rsidR="008C32AE" w:rsidRPr="000277B2" w:rsidTr="008C32AE">
        <w:trPr>
          <w:trHeight w:val="226"/>
          <w:jc w:val="center"/>
        </w:trPr>
        <w:tc>
          <w:tcPr>
            <w:tcW w:w="12925" w:type="dxa"/>
            <w:gridSpan w:val="12"/>
            <w:tcBorders>
              <w:top w:val="double" w:sz="4" w:space="0" w:color="auto"/>
              <w:left w:val="nil"/>
              <w:bottom w:val="nil"/>
              <w:right w:val="nil"/>
            </w:tcBorders>
          </w:tcPr>
          <w:p w:rsidR="008C32AE" w:rsidRPr="00535E57" w:rsidRDefault="008C32AE" w:rsidP="008C32AE">
            <w:pPr>
              <w:widowControl w:val="0"/>
              <w:autoSpaceDE w:val="0"/>
              <w:autoSpaceDN w:val="0"/>
              <w:adjustRightInd w:val="0"/>
              <w:spacing w:after="0" w:line="240" w:lineRule="auto"/>
              <w:jc w:val="center"/>
              <w:rPr>
                <w:rFonts w:ascii="Times New Roman" w:hAnsi="Times New Roman" w:cs="Times New Roman"/>
                <w:sz w:val="18"/>
                <w:szCs w:val="16"/>
              </w:rPr>
            </w:pPr>
            <w:r>
              <w:rPr>
                <w:rFonts w:ascii="Times New Roman" w:hAnsi="Times New Roman" w:cs="Times New Roman"/>
                <w:sz w:val="18"/>
                <w:szCs w:val="16"/>
              </w:rPr>
              <w:t>Panel A: 2SLS Regressions in the Full Sample</w:t>
            </w:r>
          </w:p>
        </w:tc>
      </w:tr>
      <w:tr w:rsidR="008C32AE" w:rsidRPr="000277B2" w:rsidTr="00130BF5">
        <w:trPr>
          <w:trHeight w:val="147"/>
          <w:jc w:val="center"/>
        </w:trPr>
        <w:tc>
          <w:tcPr>
            <w:tcW w:w="1485" w:type="dxa"/>
            <w:tcBorders>
              <w:top w:val="single" w:sz="6" w:space="0" w:color="auto"/>
              <w:left w:val="nil"/>
              <w:bottom w:val="nil"/>
              <w:right w:val="nil"/>
            </w:tcBorders>
          </w:tcPr>
          <w:p w:rsidR="008C32AE" w:rsidRPr="000277B2" w:rsidRDefault="008C32AE" w:rsidP="002A7DE0">
            <w:pPr>
              <w:widowControl w:val="0"/>
              <w:autoSpaceDE w:val="0"/>
              <w:autoSpaceDN w:val="0"/>
              <w:adjustRightInd w:val="0"/>
              <w:spacing w:after="0" w:line="240" w:lineRule="auto"/>
              <w:rPr>
                <w:rFonts w:ascii="Times New Roman" w:hAnsi="Times New Roman" w:cs="Times New Roman"/>
                <w:sz w:val="16"/>
                <w:szCs w:val="16"/>
              </w:rPr>
            </w:pPr>
          </w:p>
        </w:tc>
        <w:tc>
          <w:tcPr>
            <w:tcW w:w="11440" w:type="dxa"/>
            <w:gridSpan w:val="11"/>
            <w:tcBorders>
              <w:top w:val="single" w:sz="6" w:space="0" w:color="auto"/>
              <w:left w:val="nil"/>
              <w:bottom w:val="nil"/>
              <w:right w:val="nil"/>
            </w:tcBorders>
            <w:vAlign w:val="center"/>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8"/>
                <w:szCs w:val="16"/>
              </w:rPr>
              <w:t>Country Characteristics (COUNTRY)</w:t>
            </w:r>
          </w:p>
        </w:tc>
      </w:tr>
      <w:tr w:rsidR="008C32AE" w:rsidRPr="000277B2" w:rsidTr="00130BF5">
        <w:trPr>
          <w:trHeight w:val="126"/>
          <w:jc w:val="center"/>
        </w:trPr>
        <w:tc>
          <w:tcPr>
            <w:tcW w:w="1485" w:type="dxa"/>
            <w:tcBorders>
              <w:top w:val="nil"/>
              <w:left w:val="nil"/>
              <w:bottom w:val="single" w:sz="6" w:space="0" w:color="auto"/>
              <w:right w:val="nil"/>
            </w:tcBorders>
          </w:tcPr>
          <w:p w:rsidR="008C32AE" w:rsidRPr="000277B2" w:rsidRDefault="008C32AE" w:rsidP="00050F48">
            <w:pPr>
              <w:widowControl w:val="0"/>
              <w:autoSpaceDE w:val="0"/>
              <w:autoSpaceDN w:val="0"/>
              <w:adjustRightInd w:val="0"/>
              <w:spacing w:after="0" w:line="240" w:lineRule="auto"/>
              <w:rPr>
                <w:rFonts w:ascii="Times New Roman" w:hAnsi="Times New Roman" w:cs="Times New Roman"/>
                <w:sz w:val="16"/>
                <w:szCs w:val="16"/>
              </w:rPr>
            </w:pPr>
            <w:r w:rsidRPr="00050F48">
              <w:rPr>
                <w:rFonts w:ascii="Times New Roman" w:hAnsi="Times New Roman" w:cs="Times New Roman"/>
                <w:sz w:val="18"/>
                <w:szCs w:val="16"/>
              </w:rPr>
              <w:t>V</w:t>
            </w:r>
            <w:r w:rsidR="00050F48" w:rsidRPr="00050F48">
              <w:rPr>
                <w:rFonts w:ascii="Times New Roman" w:hAnsi="Times New Roman" w:cs="Times New Roman"/>
                <w:sz w:val="18"/>
                <w:szCs w:val="16"/>
              </w:rPr>
              <w:t>ariables</w:t>
            </w:r>
          </w:p>
        </w:tc>
        <w:tc>
          <w:tcPr>
            <w:tcW w:w="1040" w:type="dxa"/>
            <w:tcBorders>
              <w:top w:val="nil"/>
              <w:left w:val="nil"/>
              <w:bottom w:val="single" w:sz="6" w:space="0" w:color="auto"/>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AD</w:t>
            </w:r>
          </w:p>
        </w:tc>
        <w:tc>
          <w:tcPr>
            <w:tcW w:w="1040" w:type="dxa"/>
            <w:tcBorders>
              <w:top w:val="nil"/>
              <w:left w:val="nil"/>
              <w:bottom w:val="single" w:sz="6" w:space="0" w:color="auto"/>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AS</w:t>
            </w:r>
          </w:p>
        </w:tc>
        <w:tc>
          <w:tcPr>
            <w:tcW w:w="1040" w:type="dxa"/>
            <w:tcBorders>
              <w:top w:val="nil"/>
              <w:left w:val="nil"/>
              <w:bottom w:val="single" w:sz="6" w:space="0" w:color="auto"/>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DISC</w:t>
            </w:r>
          </w:p>
        </w:tc>
        <w:tc>
          <w:tcPr>
            <w:tcW w:w="1040" w:type="dxa"/>
            <w:tcBorders>
              <w:top w:val="nil"/>
              <w:left w:val="nil"/>
              <w:bottom w:val="single" w:sz="6" w:space="0" w:color="auto"/>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ACCT</w:t>
            </w:r>
          </w:p>
        </w:tc>
        <w:tc>
          <w:tcPr>
            <w:tcW w:w="1040" w:type="dxa"/>
            <w:tcBorders>
              <w:top w:val="nil"/>
              <w:left w:val="nil"/>
              <w:bottom w:val="single" w:sz="6" w:space="0" w:color="auto"/>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EM</w:t>
            </w:r>
          </w:p>
        </w:tc>
        <w:tc>
          <w:tcPr>
            <w:tcW w:w="1040" w:type="dxa"/>
            <w:tcBorders>
              <w:top w:val="nil"/>
              <w:left w:val="nil"/>
              <w:bottom w:val="single" w:sz="6" w:space="0" w:color="auto"/>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UK</w:t>
            </w:r>
          </w:p>
        </w:tc>
        <w:tc>
          <w:tcPr>
            <w:tcW w:w="1040" w:type="dxa"/>
            <w:tcBorders>
              <w:top w:val="nil"/>
              <w:left w:val="nil"/>
              <w:bottom w:val="single" w:sz="6" w:space="0" w:color="auto"/>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RULE</w:t>
            </w:r>
          </w:p>
        </w:tc>
        <w:tc>
          <w:tcPr>
            <w:tcW w:w="1040" w:type="dxa"/>
            <w:tcBorders>
              <w:top w:val="nil"/>
              <w:left w:val="nil"/>
              <w:bottom w:val="single" w:sz="6" w:space="0" w:color="auto"/>
              <w:right w:val="nil"/>
            </w:tcBorders>
          </w:tcPr>
          <w:p w:rsidR="008C32AE" w:rsidRPr="004E3829"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EQUITY</w:t>
            </w:r>
          </w:p>
        </w:tc>
        <w:tc>
          <w:tcPr>
            <w:tcW w:w="1040" w:type="dxa"/>
            <w:tcBorders>
              <w:top w:val="nil"/>
              <w:left w:val="nil"/>
              <w:bottom w:val="single" w:sz="6" w:space="0" w:color="auto"/>
              <w:right w:val="nil"/>
            </w:tcBorders>
          </w:tcPr>
          <w:p w:rsidR="008C32AE" w:rsidRPr="004E3829"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CREDIT</w:t>
            </w:r>
          </w:p>
        </w:tc>
        <w:tc>
          <w:tcPr>
            <w:tcW w:w="1040" w:type="dxa"/>
            <w:tcBorders>
              <w:top w:val="nil"/>
              <w:left w:val="nil"/>
              <w:bottom w:val="single" w:sz="6" w:space="0" w:color="auto"/>
              <w:right w:val="nil"/>
            </w:tcBorders>
          </w:tcPr>
          <w:p w:rsidR="008C32AE" w:rsidRPr="004E3829"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FD</w:t>
            </w:r>
          </w:p>
        </w:tc>
        <w:tc>
          <w:tcPr>
            <w:tcW w:w="1040" w:type="dxa"/>
            <w:tcBorders>
              <w:top w:val="nil"/>
              <w:left w:val="nil"/>
              <w:bottom w:val="single" w:sz="6" w:space="0" w:color="auto"/>
              <w:right w:val="nil"/>
            </w:tcBorders>
          </w:tcPr>
          <w:p w:rsidR="008C32AE" w:rsidRPr="004E3829"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IPO</w:t>
            </w:r>
          </w:p>
        </w:tc>
      </w:tr>
      <w:tr w:rsidR="008C32AE" w:rsidRPr="000277B2" w:rsidTr="00130BF5">
        <w:trPr>
          <w:trHeight w:val="282"/>
          <w:jc w:val="center"/>
        </w:trPr>
        <w:tc>
          <w:tcPr>
            <w:tcW w:w="1485" w:type="dxa"/>
            <w:tcBorders>
              <w:top w:val="nil"/>
              <w:left w:val="nil"/>
              <w:bottom w:val="nil"/>
              <w:right w:val="nil"/>
            </w:tcBorders>
            <w:vAlign w:val="bottom"/>
          </w:tcPr>
          <w:p w:rsidR="008C32AE" w:rsidRPr="000277B2" w:rsidRDefault="008C32AE" w:rsidP="00130BF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COUNTRY</w:t>
            </w:r>
          </w:p>
        </w:tc>
        <w:tc>
          <w:tcPr>
            <w:tcW w:w="1040" w:type="dxa"/>
            <w:tcBorders>
              <w:top w:val="nil"/>
              <w:left w:val="nil"/>
              <w:bottom w:val="nil"/>
              <w:right w:val="nil"/>
            </w:tcBorders>
            <w:vAlign w:val="bottom"/>
          </w:tcPr>
          <w:p w:rsidR="008C32AE" w:rsidRPr="000277B2" w:rsidRDefault="008C32AE" w:rsidP="00130BF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w:t>
            </w:r>
          </w:p>
        </w:tc>
        <w:tc>
          <w:tcPr>
            <w:tcW w:w="1040" w:type="dxa"/>
            <w:tcBorders>
              <w:top w:val="nil"/>
              <w:left w:val="nil"/>
              <w:bottom w:val="nil"/>
              <w:right w:val="nil"/>
            </w:tcBorders>
            <w:vAlign w:val="bottom"/>
          </w:tcPr>
          <w:p w:rsidR="008C32AE" w:rsidRPr="000277B2" w:rsidRDefault="008C32AE" w:rsidP="00130BF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w:t>
            </w:r>
          </w:p>
        </w:tc>
        <w:tc>
          <w:tcPr>
            <w:tcW w:w="1040" w:type="dxa"/>
            <w:tcBorders>
              <w:top w:val="nil"/>
              <w:left w:val="nil"/>
              <w:bottom w:val="nil"/>
              <w:right w:val="nil"/>
            </w:tcBorders>
            <w:vAlign w:val="bottom"/>
          </w:tcPr>
          <w:p w:rsidR="008C32AE" w:rsidRPr="00697B0C" w:rsidRDefault="008C32AE" w:rsidP="00130BF5">
            <w:pPr>
              <w:widowControl w:val="0"/>
              <w:autoSpaceDE w:val="0"/>
              <w:autoSpaceDN w:val="0"/>
              <w:adjustRightInd w:val="0"/>
              <w:spacing w:after="0" w:line="240" w:lineRule="auto"/>
              <w:jc w:val="center"/>
              <w:rPr>
                <w:rFonts w:ascii="Times New Roman" w:hAnsi="Times New Roman" w:cs="Times New Roman"/>
                <w:sz w:val="16"/>
                <w:szCs w:val="24"/>
              </w:rPr>
            </w:pPr>
            <w:r w:rsidRPr="00697B0C">
              <w:rPr>
                <w:rFonts w:ascii="Times New Roman" w:hAnsi="Times New Roman" w:cs="Times New Roman"/>
                <w:sz w:val="16"/>
                <w:szCs w:val="24"/>
              </w:rPr>
              <w:t>-0.0125</w:t>
            </w:r>
          </w:p>
        </w:tc>
        <w:tc>
          <w:tcPr>
            <w:tcW w:w="1040" w:type="dxa"/>
            <w:tcBorders>
              <w:top w:val="nil"/>
              <w:left w:val="nil"/>
              <w:bottom w:val="nil"/>
              <w:right w:val="nil"/>
            </w:tcBorders>
            <w:vAlign w:val="bottom"/>
          </w:tcPr>
          <w:p w:rsidR="008C32AE" w:rsidRPr="000277B2" w:rsidRDefault="008C32AE" w:rsidP="00130BF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w:t>
            </w:r>
          </w:p>
        </w:tc>
        <w:tc>
          <w:tcPr>
            <w:tcW w:w="1040" w:type="dxa"/>
            <w:tcBorders>
              <w:top w:val="nil"/>
              <w:left w:val="nil"/>
              <w:bottom w:val="nil"/>
              <w:right w:val="nil"/>
            </w:tcBorders>
            <w:vAlign w:val="bottom"/>
          </w:tcPr>
          <w:p w:rsidR="008C32AE" w:rsidRPr="000277B2" w:rsidRDefault="008C32AE" w:rsidP="00130BF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w:t>
            </w:r>
          </w:p>
        </w:tc>
        <w:tc>
          <w:tcPr>
            <w:tcW w:w="1040" w:type="dxa"/>
            <w:tcBorders>
              <w:top w:val="nil"/>
              <w:left w:val="nil"/>
              <w:bottom w:val="nil"/>
              <w:right w:val="nil"/>
            </w:tcBorders>
            <w:vAlign w:val="bottom"/>
          </w:tcPr>
          <w:p w:rsidR="008C32AE" w:rsidRPr="000277B2" w:rsidRDefault="008C32AE" w:rsidP="00130BF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w:t>
            </w:r>
          </w:p>
        </w:tc>
        <w:tc>
          <w:tcPr>
            <w:tcW w:w="1040" w:type="dxa"/>
            <w:tcBorders>
              <w:top w:val="nil"/>
              <w:left w:val="nil"/>
              <w:bottom w:val="nil"/>
              <w:right w:val="nil"/>
            </w:tcBorders>
            <w:vAlign w:val="bottom"/>
          </w:tcPr>
          <w:p w:rsidR="008C32AE" w:rsidRPr="00697B0C" w:rsidRDefault="008C32AE" w:rsidP="00130BF5">
            <w:pPr>
              <w:widowControl w:val="0"/>
              <w:autoSpaceDE w:val="0"/>
              <w:autoSpaceDN w:val="0"/>
              <w:adjustRightInd w:val="0"/>
              <w:spacing w:after="0" w:line="240" w:lineRule="auto"/>
              <w:jc w:val="center"/>
              <w:rPr>
                <w:rFonts w:ascii="Times New Roman" w:hAnsi="Times New Roman" w:cs="Times New Roman"/>
                <w:sz w:val="16"/>
                <w:szCs w:val="24"/>
              </w:rPr>
            </w:pPr>
            <w:r w:rsidRPr="00697B0C">
              <w:rPr>
                <w:rFonts w:ascii="Times New Roman" w:hAnsi="Times New Roman" w:cs="Times New Roman"/>
                <w:sz w:val="16"/>
                <w:szCs w:val="24"/>
              </w:rPr>
              <w:t>-0.407**</w:t>
            </w:r>
          </w:p>
        </w:tc>
        <w:tc>
          <w:tcPr>
            <w:tcW w:w="1040" w:type="dxa"/>
            <w:tcBorders>
              <w:top w:val="nil"/>
              <w:left w:val="nil"/>
              <w:bottom w:val="nil"/>
              <w:right w:val="nil"/>
            </w:tcBorders>
            <w:vAlign w:val="bottom"/>
          </w:tcPr>
          <w:p w:rsidR="008C32AE" w:rsidRPr="00697B0C" w:rsidRDefault="008C32AE" w:rsidP="003F7D8D">
            <w:pPr>
              <w:widowControl w:val="0"/>
              <w:autoSpaceDE w:val="0"/>
              <w:autoSpaceDN w:val="0"/>
              <w:adjustRightInd w:val="0"/>
              <w:spacing w:after="0" w:line="240" w:lineRule="auto"/>
              <w:jc w:val="center"/>
              <w:rPr>
                <w:rFonts w:ascii="Times New Roman" w:hAnsi="Times New Roman" w:cs="Times New Roman"/>
                <w:sz w:val="16"/>
                <w:szCs w:val="24"/>
              </w:rPr>
            </w:pPr>
            <w:r w:rsidRPr="00697B0C">
              <w:rPr>
                <w:rFonts w:ascii="Times New Roman" w:hAnsi="Times New Roman" w:cs="Times New Roman"/>
                <w:sz w:val="16"/>
                <w:szCs w:val="24"/>
              </w:rPr>
              <w:t>-0.0024***</w:t>
            </w:r>
          </w:p>
        </w:tc>
        <w:tc>
          <w:tcPr>
            <w:tcW w:w="1040" w:type="dxa"/>
            <w:tcBorders>
              <w:top w:val="nil"/>
              <w:left w:val="nil"/>
              <w:bottom w:val="nil"/>
              <w:right w:val="nil"/>
            </w:tcBorders>
            <w:vAlign w:val="bottom"/>
          </w:tcPr>
          <w:p w:rsidR="008C32AE" w:rsidRPr="00697B0C" w:rsidRDefault="008C32AE" w:rsidP="003F7D8D">
            <w:pPr>
              <w:widowControl w:val="0"/>
              <w:autoSpaceDE w:val="0"/>
              <w:autoSpaceDN w:val="0"/>
              <w:adjustRightInd w:val="0"/>
              <w:spacing w:after="0" w:line="240" w:lineRule="auto"/>
              <w:jc w:val="center"/>
              <w:rPr>
                <w:rFonts w:ascii="Times New Roman" w:hAnsi="Times New Roman" w:cs="Times New Roman"/>
                <w:sz w:val="16"/>
                <w:szCs w:val="24"/>
              </w:rPr>
            </w:pPr>
            <w:r w:rsidRPr="00697B0C">
              <w:rPr>
                <w:rFonts w:ascii="Times New Roman" w:hAnsi="Times New Roman" w:cs="Times New Roman"/>
                <w:sz w:val="16"/>
                <w:szCs w:val="24"/>
              </w:rPr>
              <w:t>0.0022</w:t>
            </w:r>
          </w:p>
        </w:tc>
        <w:tc>
          <w:tcPr>
            <w:tcW w:w="1040" w:type="dxa"/>
            <w:tcBorders>
              <w:top w:val="nil"/>
              <w:left w:val="nil"/>
              <w:bottom w:val="nil"/>
              <w:right w:val="nil"/>
            </w:tcBorders>
            <w:vAlign w:val="bottom"/>
          </w:tcPr>
          <w:p w:rsidR="008C32AE" w:rsidRPr="00697B0C" w:rsidRDefault="008C32AE" w:rsidP="003F7D8D">
            <w:pPr>
              <w:widowControl w:val="0"/>
              <w:autoSpaceDE w:val="0"/>
              <w:autoSpaceDN w:val="0"/>
              <w:adjustRightInd w:val="0"/>
              <w:spacing w:after="0" w:line="240" w:lineRule="auto"/>
              <w:jc w:val="center"/>
              <w:rPr>
                <w:rFonts w:ascii="Times New Roman" w:hAnsi="Times New Roman" w:cs="Times New Roman"/>
                <w:sz w:val="16"/>
                <w:szCs w:val="24"/>
              </w:rPr>
            </w:pPr>
            <w:r w:rsidRPr="00697B0C">
              <w:rPr>
                <w:rFonts w:ascii="Times New Roman" w:hAnsi="Times New Roman" w:cs="Times New Roman"/>
                <w:sz w:val="16"/>
                <w:szCs w:val="24"/>
              </w:rPr>
              <w:t>-0.0015***</w:t>
            </w:r>
          </w:p>
        </w:tc>
        <w:tc>
          <w:tcPr>
            <w:tcW w:w="1040" w:type="dxa"/>
            <w:tcBorders>
              <w:top w:val="nil"/>
              <w:left w:val="nil"/>
              <w:bottom w:val="nil"/>
              <w:right w:val="nil"/>
            </w:tcBorders>
            <w:vAlign w:val="bottom"/>
          </w:tcPr>
          <w:p w:rsidR="008C32AE" w:rsidRPr="000277B2" w:rsidRDefault="008C32AE" w:rsidP="00130BF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w:t>
            </w:r>
          </w:p>
        </w:tc>
      </w:tr>
      <w:tr w:rsidR="008C32AE" w:rsidRPr="000277B2" w:rsidTr="008C32AE">
        <w:trPr>
          <w:trHeight w:val="210"/>
          <w:jc w:val="center"/>
        </w:trPr>
        <w:tc>
          <w:tcPr>
            <w:tcW w:w="1485"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p>
        </w:tc>
        <w:tc>
          <w:tcPr>
            <w:tcW w:w="1040" w:type="dxa"/>
            <w:tcBorders>
              <w:top w:val="nil"/>
              <w:left w:val="nil"/>
              <w:bottom w:val="nil"/>
              <w:right w:val="nil"/>
            </w:tcBorders>
          </w:tcPr>
          <w:p w:rsidR="008C32AE" w:rsidRPr="00697B0C" w:rsidRDefault="008C32AE" w:rsidP="002A7DE0">
            <w:pPr>
              <w:widowControl w:val="0"/>
              <w:autoSpaceDE w:val="0"/>
              <w:autoSpaceDN w:val="0"/>
              <w:adjustRightInd w:val="0"/>
              <w:spacing w:after="0" w:line="240" w:lineRule="auto"/>
              <w:jc w:val="center"/>
              <w:rPr>
                <w:rFonts w:ascii="Times New Roman" w:hAnsi="Times New Roman" w:cs="Times New Roman"/>
                <w:sz w:val="16"/>
                <w:szCs w:val="24"/>
              </w:rPr>
            </w:pPr>
            <w:r w:rsidRPr="00697B0C">
              <w:rPr>
                <w:rFonts w:ascii="Times New Roman" w:hAnsi="Times New Roman" w:cs="Times New Roman"/>
                <w:sz w:val="16"/>
                <w:szCs w:val="24"/>
              </w:rPr>
              <w:t>(0.0176)</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p>
        </w:tc>
        <w:tc>
          <w:tcPr>
            <w:tcW w:w="1040" w:type="dxa"/>
            <w:tcBorders>
              <w:top w:val="nil"/>
              <w:left w:val="nil"/>
              <w:bottom w:val="nil"/>
              <w:right w:val="nil"/>
            </w:tcBorders>
          </w:tcPr>
          <w:p w:rsidR="008C32AE" w:rsidRPr="00697B0C" w:rsidRDefault="008C32AE" w:rsidP="002A7DE0">
            <w:pPr>
              <w:widowControl w:val="0"/>
              <w:autoSpaceDE w:val="0"/>
              <w:autoSpaceDN w:val="0"/>
              <w:adjustRightInd w:val="0"/>
              <w:spacing w:after="0" w:line="240" w:lineRule="auto"/>
              <w:jc w:val="center"/>
              <w:rPr>
                <w:rFonts w:ascii="Times New Roman" w:hAnsi="Times New Roman" w:cs="Times New Roman"/>
                <w:sz w:val="16"/>
                <w:szCs w:val="24"/>
              </w:rPr>
            </w:pPr>
            <w:r w:rsidRPr="00697B0C">
              <w:rPr>
                <w:rFonts w:ascii="Times New Roman" w:hAnsi="Times New Roman" w:cs="Times New Roman"/>
                <w:sz w:val="16"/>
                <w:szCs w:val="24"/>
              </w:rPr>
              <w:t>(0.182)</w:t>
            </w:r>
          </w:p>
        </w:tc>
        <w:tc>
          <w:tcPr>
            <w:tcW w:w="1040" w:type="dxa"/>
            <w:tcBorders>
              <w:top w:val="nil"/>
              <w:left w:val="nil"/>
              <w:bottom w:val="nil"/>
              <w:right w:val="nil"/>
            </w:tcBorders>
          </w:tcPr>
          <w:p w:rsidR="008C32AE" w:rsidRPr="00697B0C" w:rsidRDefault="008C32AE" w:rsidP="003F7D8D">
            <w:pPr>
              <w:widowControl w:val="0"/>
              <w:autoSpaceDE w:val="0"/>
              <w:autoSpaceDN w:val="0"/>
              <w:adjustRightInd w:val="0"/>
              <w:spacing w:after="0" w:line="240" w:lineRule="auto"/>
              <w:jc w:val="center"/>
              <w:rPr>
                <w:rFonts w:ascii="Times New Roman" w:hAnsi="Times New Roman" w:cs="Times New Roman"/>
                <w:sz w:val="16"/>
                <w:szCs w:val="24"/>
              </w:rPr>
            </w:pPr>
            <w:r w:rsidRPr="00697B0C">
              <w:rPr>
                <w:rFonts w:ascii="Times New Roman" w:hAnsi="Times New Roman" w:cs="Times New Roman"/>
                <w:sz w:val="16"/>
                <w:szCs w:val="24"/>
              </w:rPr>
              <w:t>(0.0004)</w:t>
            </w:r>
          </w:p>
        </w:tc>
        <w:tc>
          <w:tcPr>
            <w:tcW w:w="1040" w:type="dxa"/>
            <w:tcBorders>
              <w:top w:val="nil"/>
              <w:left w:val="nil"/>
              <w:bottom w:val="nil"/>
              <w:right w:val="nil"/>
            </w:tcBorders>
          </w:tcPr>
          <w:p w:rsidR="008C32AE" w:rsidRPr="00697B0C" w:rsidRDefault="008C32AE" w:rsidP="003F7D8D">
            <w:pPr>
              <w:widowControl w:val="0"/>
              <w:autoSpaceDE w:val="0"/>
              <w:autoSpaceDN w:val="0"/>
              <w:adjustRightInd w:val="0"/>
              <w:spacing w:after="0" w:line="240" w:lineRule="auto"/>
              <w:jc w:val="center"/>
              <w:rPr>
                <w:rFonts w:ascii="Times New Roman" w:hAnsi="Times New Roman" w:cs="Times New Roman"/>
                <w:sz w:val="16"/>
                <w:szCs w:val="24"/>
              </w:rPr>
            </w:pPr>
            <w:r w:rsidRPr="00697B0C">
              <w:rPr>
                <w:rFonts w:ascii="Times New Roman" w:hAnsi="Times New Roman" w:cs="Times New Roman"/>
                <w:sz w:val="16"/>
                <w:szCs w:val="24"/>
              </w:rPr>
              <w:t>(0.0017)</w:t>
            </w:r>
          </w:p>
        </w:tc>
        <w:tc>
          <w:tcPr>
            <w:tcW w:w="1040" w:type="dxa"/>
            <w:tcBorders>
              <w:top w:val="nil"/>
              <w:left w:val="nil"/>
              <w:bottom w:val="nil"/>
              <w:right w:val="nil"/>
            </w:tcBorders>
          </w:tcPr>
          <w:p w:rsidR="008C32AE" w:rsidRPr="00697B0C" w:rsidRDefault="008C32AE" w:rsidP="003F7D8D">
            <w:pPr>
              <w:widowControl w:val="0"/>
              <w:autoSpaceDE w:val="0"/>
              <w:autoSpaceDN w:val="0"/>
              <w:adjustRightInd w:val="0"/>
              <w:spacing w:after="0" w:line="240" w:lineRule="auto"/>
              <w:jc w:val="center"/>
              <w:rPr>
                <w:rFonts w:ascii="Times New Roman" w:hAnsi="Times New Roman" w:cs="Times New Roman"/>
                <w:sz w:val="16"/>
                <w:szCs w:val="24"/>
              </w:rPr>
            </w:pPr>
            <w:r w:rsidRPr="00697B0C">
              <w:rPr>
                <w:rFonts w:ascii="Times New Roman" w:hAnsi="Times New Roman" w:cs="Times New Roman"/>
                <w:sz w:val="16"/>
                <w:szCs w:val="24"/>
              </w:rPr>
              <w:t>(0.0003)</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p>
        </w:tc>
      </w:tr>
      <w:tr w:rsidR="00223B75" w:rsidRPr="000277B2" w:rsidTr="00223B75">
        <w:trPr>
          <w:trHeight w:val="436"/>
          <w:jc w:val="center"/>
        </w:trPr>
        <w:tc>
          <w:tcPr>
            <w:tcW w:w="1485" w:type="dxa"/>
            <w:tcBorders>
              <w:top w:val="nil"/>
              <w:left w:val="nil"/>
              <w:bottom w:val="nil"/>
              <w:right w:val="nil"/>
            </w:tcBorders>
          </w:tcPr>
          <w:p w:rsidR="00223B75" w:rsidRPr="000277B2" w:rsidRDefault="00223B75" w:rsidP="002A7DE0">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COUNTRY</w:t>
            </w:r>
            <w:r w:rsidRPr="000277B2">
              <w:rPr>
                <w:rFonts w:ascii="Times New Roman" w:hAnsi="Times New Roman" w:cs="Times New Roman"/>
                <w:sz w:val="16"/>
                <w:szCs w:val="16"/>
              </w:rPr>
              <w:t>×</w:t>
            </w:r>
            <w:r>
              <w:rPr>
                <w:rFonts w:ascii="Times New Roman" w:hAnsi="Times New Roman" w:cs="Times New Roman"/>
                <w:sz w:val="16"/>
                <w:szCs w:val="16"/>
              </w:rPr>
              <w:t>Q</w:t>
            </w:r>
            <w:r w:rsidRPr="000277B2">
              <w:rPr>
                <w:rFonts w:ascii="Times New Roman" w:hAnsi="Times New Roman" w:cs="Times New Roman"/>
                <w:sz w:val="16"/>
                <w:szCs w:val="16"/>
              </w:rPr>
              <w:t>4</w:t>
            </w:r>
            <w:r>
              <w:rPr>
                <w:rFonts w:ascii="Times New Roman" w:hAnsi="Times New Roman" w:cs="Times New Roman"/>
                <w:sz w:val="16"/>
                <w:szCs w:val="16"/>
              </w:rPr>
              <w:t xml:space="preserve"> Dummy</w:t>
            </w:r>
          </w:p>
        </w:tc>
        <w:tc>
          <w:tcPr>
            <w:tcW w:w="1040" w:type="dxa"/>
            <w:tcBorders>
              <w:top w:val="nil"/>
              <w:left w:val="nil"/>
              <w:bottom w:val="nil"/>
              <w:right w:val="nil"/>
            </w:tcBorders>
            <w:vAlign w:val="center"/>
          </w:tcPr>
          <w:p w:rsidR="00223B75" w:rsidRPr="00223B75" w:rsidRDefault="00223B75" w:rsidP="00223B75">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-0.0299***</w:t>
            </w:r>
          </w:p>
        </w:tc>
        <w:tc>
          <w:tcPr>
            <w:tcW w:w="1040" w:type="dxa"/>
            <w:tcBorders>
              <w:top w:val="nil"/>
              <w:left w:val="nil"/>
              <w:bottom w:val="nil"/>
              <w:right w:val="nil"/>
            </w:tcBorders>
            <w:vAlign w:val="center"/>
          </w:tcPr>
          <w:p w:rsidR="00223B75" w:rsidRPr="00223B75" w:rsidRDefault="00223B75" w:rsidP="00223B75">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-0.190*</w:t>
            </w:r>
          </w:p>
        </w:tc>
        <w:tc>
          <w:tcPr>
            <w:tcW w:w="1040" w:type="dxa"/>
            <w:tcBorders>
              <w:top w:val="nil"/>
              <w:left w:val="nil"/>
              <w:bottom w:val="nil"/>
              <w:right w:val="nil"/>
            </w:tcBorders>
            <w:vAlign w:val="center"/>
          </w:tcPr>
          <w:p w:rsidR="00223B75" w:rsidRPr="00223B75" w:rsidRDefault="00223B75" w:rsidP="00223B75">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-0.0146</w:t>
            </w:r>
          </w:p>
        </w:tc>
        <w:tc>
          <w:tcPr>
            <w:tcW w:w="1040" w:type="dxa"/>
            <w:tcBorders>
              <w:top w:val="nil"/>
              <w:left w:val="nil"/>
              <w:bottom w:val="nil"/>
              <w:right w:val="nil"/>
            </w:tcBorders>
            <w:vAlign w:val="center"/>
          </w:tcPr>
          <w:p w:rsidR="00223B75" w:rsidRPr="00223B75" w:rsidRDefault="00223B75" w:rsidP="003F7D8D">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-0.005</w:t>
            </w:r>
            <w:r w:rsidR="003F7D8D">
              <w:rPr>
                <w:rFonts w:ascii="Times New Roman" w:hAnsi="Times New Roman" w:cs="Times New Roman"/>
                <w:sz w:val="16"/>
                <w:szCs w:val="24"/>
              </w:rPr>
              <w:t>5</w:t>
            </w:r>
            <w:r w:rsidRPr="00223B75">
              <w:rPr>
                <w:rFonts w:ascii="Times New Roman" w:hAnsi="Times New Roman" w:cs="Times New Roman"/>
                <w:sz w:val="16"/>
                <w:szCs w:val="24"/>
              </w:rPr>
              <w:t>**</w:t>
            </w:r>
          </w:p>
        </w:tc>
        <w:tc>
          <w:tcPr>
            <w:tcW w:w="1040" w:type="dxa"/>
            <w:tcBorders>
              <w:top w:val="nil"/>
              <w:left w:val="nil"/>
              <w:bottom w:val="nil"/>
              <w:right w:val="nil"/>
            </w:tcBorders>
            <w:vAlign w:val="center"/>
          </w:tcPr>
          <w:p w:rsidR="00223B75" w:rsidRPr="00223B75" w:rsidRDefault="00223B75" w:rsidP="003F7D8D">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0.007</w:t>
            </w:r>
            <w:r w:rsidR="003F7D8D">
              <w:rPr>
                <w:rFonts w:ascii="Times New Roman" w:hAnsi="Times New Roman" w:cs="Times New Roman"/>
                <w:sz w:val="16"/>
                <w:szCs w:val="24"/>
              </w:rPr>
              <w:t>7</w:t>
            </w:r>
            <w:r w:rsidRPr="00223B75">
              <w:rPr>
                <w:rFonts w:ascii="Times New Roman" w:hAnsi="Times New Roman" w:cs="Times New Roman"/>
                <w:sz w:val="16"/>
                <w:szCs w:val="24"/>
              </w:rPr>
              <w:t>***</w:t>
            </w:r>
          </w:p>
        </w:tc>
        <w:tc>
          <w:tcPr>
            <w:tcW w:w="1040" w:type="dxa"/>
            <w:tcBorders>
              <w:top w:val="nil"/>
              <w:left w:val="nil"/>
              <w:bottom w:val="nil"/>
              <w:right w:val="nil"/>
            </w:tcBorders>
            <w:vAlign w:val="center"/>
          </w:tcPr>
          <w:p w:rsidR="00223B75" w:rsidRPr="00223B75" w:rsidRDefault="00223B75" w:rsidP="00223B75">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-0.0798*</w:t>
            </w:r>
          </w:p>
        </w:tc>
        <w:tc>
          <w:tcPr>
            <w:tcW w:w="1040" w:type="dxa"/>
            <w:tcBorders>
              <w:top w:val="nil"/>
              <w:left w:val="nil"/>
              <w:bottom w:val="nil"/>
              <w:right w:val="nil"/>
            </w:tcBorders>
            <w:vAlign w:val="center"/>
          </w:tcPr>
          <w:p w:rsidR="00223B75" w:rsidRPr="00223B75" w:rsidRDefault="00223B75" w:rsidP="00223B75">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-0.106***</w:t>
            </w:r>
          </w:p>
        </w:tc>
        <w:tc>
          <w:tcPr>
            <w:tcW w:w="1040" w:type="dxa"/>
            <w:tcBorders>
              <w:top w:val="nil"/>
              <w:left w:val="nil"/>
              <w:bottom w:val="nil"/>
              <w:right w:val="nil"/>
            </w:tcBorders>
            <w:vAlign w:val="center"/>
          </w:tcPr>
          <w:p w:rsidR="00223B75" w:rsidRPr="00223B75" w:rsidRDefault="00223B75" w:rsidP="003F7D8D">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-0.0003</w:t>
            </w:r>
          </w:p>
        </w:tc>
        <w:tc>
          <w:tcPr>
            <w:tcW w:w="1040" w:type="dxa"/>
            <w:tcBorders>
              <w:top w:val="nil"/>
              <w:left w:val="nil"/>
              <w:bottom w:val="nil"/>
              <w:right w:val="nil"/>
            </w:tcBorders>
            <w:vAlign w:val="center"/>
          </w:tcPr>
          <w:p w:rsidR="00223B75" w:rsidRPr="00223B75" w:rsidRDefault="00223B75" w:rsidP="003F7D8D">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-0.0018***</w:t>
            </w:r>
          </w:p>
        </w:tc>
        <w:tc>
          <w:tcPr>
            <w:tcW w:w="1040" w:type="dxa"/>
            <w:tcBorders>
              <w:top w:val="nil"/>
              <w:left w:val="nil"/>
              <w:bottom w:val="nil"/>
              <w:right w:val="nil"/>
            </w:tcBorders>
            <w:vAlign w:val="center"/>
          </w:tcPr>
          <w:p w:rsidR="00223B75" w:rsidRPr="00223B75" w:rsidRDefault="00223B75" w:rsidP="003F7D8D">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-0.0005**</w:t>
            </w:r>
          </w:p>
        </w:tc>
        <w:tc>
          <w:tcPr>
            <w:tcW w:w="1040" w:type="dxa"/>
            <w:tcBorders>
              <w:top w:val="nil"/>
              <w:left w:val="nil"/>
              <w:bottom w:val="nil"/>
              <w:right w:val="nil"/>
            </w:tcBorders>
            <w:vAlign w:val="center"/>
          </w:tcPr>
          <w:p w:rsidR="00223B75" w:rsidRPr="00223B75" w:rsidRDefault="00223B75" w:rsidP="00223B75">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-0.0130*</w:t>
            </w:r>
          </w:p>
        </w:tc>
      </w:tr>
      <w:tr w:rsidR="00223B75" w:rsidRPr="000277B2" w:rsidTr="00223B75">
        <w:trPr>
          <w:trHeight w:val="252"/>
          <w:jc w:val="center"/>
        </w:trPr>
        <w:tc>
          <w:tcPr>
            <w:tcW w:w="1485" w:type="dxa"/>
            <w:tcBorders>
              <w:top w:val="nil"/>
              <w:left w:val="nil"/>
              <w:bottom w:val="nil"/>
              <w:right w:val="nil"/>
            </w:tcBorders>
          </w:tcPr>
          <w:p w:rsidR="00223B75" w:rsidRPr="000277B2" w:rsidRDefault="00223B75" w:rsidP="002A7DE0">
            <w:pPr>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nil"/>
              <w:left w:val="nil"/>
              <w:bottom w:val="nil"/>
              <w:right w:val="nil"/>
            </w:tcBorders>
            <w:vAlign w:val="center"/>
          </w:tcPr>
          <w:p w:rsidR="00223B75" w:rsidRPr="00223B75" w:rsidRDefault="00223B75" w:rsidP="00223B75">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(0.0113)</w:t>
            </w:r>
          </w:p>
        </w:tc>
        <w:tc>
          <w:tcPr>
            <w:tcW w:w="1040" w:type="dxa"/>
            <w:tcBorders>
              <w:top w:val="nil"/>
              <w:left w:val="nil"/>
              <w:bottom w:val="nil"/>
              <w:right w:val="nil"/>
            </w:tcBorders>
            <w:vAlign w:val="center"/>
          </w:tcPr>
          <w:p w:rsidR="00223B75" w:rsidRPr="00223B75" w:rsidRDefault="00223B75" w:rsidP="00223B75">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(0.114)</w:t>
            </w:r>
          </w:p>
        </w:tc>
        <w:tc>
          <w:tcPr>
            <w:tcW w:w="1040" w:type="dxa"/>
            <w:tcBorders>
              <w:top w:val="nil"/>
              <w:left w:val="nil"/>
              <w:bottom w:val="nil"/>
              <w:right w:val="nil"/>
            </w:tcBorders>
            <w:vAlign w:val="center"/>
          </w:tcPr>
          <w:p w:rsidR="00223B75" w:rsidRPr="00223B75" w:rsidRDefault="00223B75" w:rsidP="00223B75">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(0.0112)</w:t>
            </w:r>
          </w:p>
        </w:tc>
        <w:tc>
          <w:tcPr>
            <w:tcW w:w="1040" w:type="dxa"/>
            <w:tcBorders>
              <w:top w:val="nil"/>
              <w:left w:val="nil"/>
              <w:bottom w:val="nil"/>
              <w:right w:val="nil"/>
            </w:tcBorders>
            <w:vAlign w:val="center"/>
          </w:tcPr>
          <w:p w:rsidR="00223B75" w:rsidRPr="00223B75" w:rsidRDefault="00223B75" w:rsidP="003F7D8D">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(0.0022)</w:t>
            </w:r>
          </w:p>
        </w:tc>
        <w:tc>
          <w:tcPr>
            <w:tcW w:w="1040" w:type="dxa"/>
            <w:tcBorders>
              <w:top w:val="nil"/>
              <w:left w:val="nil"/>
              <w:bottom w:val="nil"/>
              <w:right w:val="nil"/>
            </w:tcBorders>
            <w:vAlign w:val="center"/>
          </w:tcPr>
          <w:p w:rsidR="00223B75" w:rsidRPr="00223B75" w:rsidRDefault="00223B75" w:rsidP="003F7D8D">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(0.0018)</w:t>
            </w:r>
          </w:p>
        </w:tc>
        <w:tc>
          <w:tcPr>
            <w:tcW w:w="1040" w:type="dxa"/>
            <w:tcBorders>
              <w:top w:val="nil"/>
              <w:left w:val="nil"/>
              <w:bottom w:val="nil"/>
              <w:right w:val="nil"/>
            </w:tcBorders>
            <w:vAlign w:val="center"/>
          </w:tcPr>
          <w:p w:rsidR="00223B75" w:rsidRPr="00223B75" w:rsidRDefault="00223B75" w:rsidP="00223B75">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(0.0478)</w:t>
            </w:r>
          </w:p>
        </w:tc>
        <w:tc>
          <w:tcPr>
            <w:tcW w:w="1040" w:type="dxa"/>
            <w:tcBorders>
              <w:top w:val="nil"/>
              <w:left w:val="nil"/>
              <w:bottom w:val="nil"/>
              <w:right w:val="nil"/>
            </w:tcBorders>
            <w:vAlign w:val="center"/>
          </w:tcPr>
          <w:p w:rsidR="00223B75" w:rsidRPr="00223B75" w:rsidRDefault="00223B75" w:rsidP="00223B75">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(0.0246)</w:t>
            </w:r>
          </w:p>
        </w:tc>
        <w:tc>
          <w:tcPr>
            <w:tcW w:w="1040" w:type="dxa"/>
            <w:tcBorders>
              <w:top w:val="nil"/>
              <w:left w:val="nil"/>
              <w:bottom w:val="nil"/>
              <w:right w:val="nil"/>
            </w:tcBorders>
            <w:vAlign w:val="center"/>
          </w:tcPr>
          <w:p w:rsidR="00223B75" w:rsidRPr="00223B75" w:rsidRDefault="00223B75" w:rsidP="003F7D8D">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(0.0002)</w:t>
            </w:r>
          </w:p>
        </w:tc>
        <w:tc>
          <w:tcPr>
            <w:tcW w:w="1040" w:type="dxa"/>
            <w:tcBorders>
              <w:top w:val="nil"/>
              <w:left w:val="nil"/>
              <w:bottom w:val="nil"/>
              <w:right w:val="nil"/>
            </w:tcBorders>
            <w:vAlign w:val="center"/>
          </w:tcPr>
          <w:p w:rsidR="00223B75" w:rsidRPr="00223B75" w:rsidRDefault="00223B75" w:rsidP="003F7D8D">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(0.000</w:t>
            </w:r>
            <w:r w:rsidR="003F7D8D">
              <w:rPr>
                <w:rFonts w:ascii="Times New Roman" w:hAnsi="Times New Roman" w:cs="Times New Roman"/>
                <w:sz w:val="16"/>
                <w:szCs w:val="24"/>
              </w:rPr>
              <w:t>3</w:t>
            </w:r>
            <w:r w:rsidRPr="00223B75">
              <w:rPr>
                <w:rFonts w:ascii="Times New Roman" w:hAnsi="Times New Roman" w:cs="Times New Roman"/>
                <w:sz w:val="16"/>
                <w:szCs w:val="24"/>
              </w:rPr>
              <w:t>)</w:t>
            </w:r>
          </w:p>
        </w:tc>
        <w:tc>
          <w:tcPr>
            <w:tcW w:w="1040" w:type="dxa"/>
            <w:tcBorders>
              <w:top w:val="nil"/>
              <w:left w:val="nil"/>
              <w:bottom w:val="nil"/>
              <w:right w:val="nil"/>
            </w:tcBorders>
            <w:vAlign w:val="center"/>
          </w:tcPr>
          <w:p w:rsidR="00223B75" w:rsidRPr="00223B75" w:rsidRDefault="00223B75" w:rsidP="003F7D8D">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(0.0002)</w:t>
            </w:r>
          </w:p>
        </w:tc>
        <w:tc>
          <w:tcPr>
            <w:tcW w:w="1040" w:type="dxa"/>
            <w:tcBorders>
              <w:top w:val="nil"/>
              <w:left w:val="nil"/>
              <w:bottom w:val="nil"/>
              <w:right w:val="nil"/>
            </w:tcBorders>
            <w:vAlign w:val="center"/>
          </w:tcPr>
          <w:p w:rsidR="00223B75" w:rsidRPr="00223B75" w:rsidRDefault="00223B75" w:rsidP="003F7D8D">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(0.0068)</w:t>
            </w:r>
          </w:p>
        </w:tc>
      </w:tr>
      <w:tr w:rsidR="008C32AE" w:rsidRPr="000277B2" w:rsidTr="008C32AE">
        <w:trPr>
          <w:trHeight w:val="210"/>
          <w:jc w:val="center"/>
        </w:trPr>
        <w:tc>
          <w:tcPr>
            <w:tcW w:w="1485" w:type="dxa"/>
            <w:tcBorders>
              <w:top w:val="nil"/>
              <w:left w:val="nil"/>
              <w:bottom w:val="nil"/>
              <w:right w:val="nil"/>
            </w:tcBorders>
            <w:vAlign w:val="center"/>
          </w:tcPr>
          <w:p w:rsidR="008C32AE" w:rsidRPr="000277B2" w:rsidRDefault="008C32AE" w:rsidP="002A7DE0">
            <w:pPr>
              <w:spacing w:after="0" w:line="240" w:lineRule="auto"/>
              <w:rPr>
                <w:rFonts w:ascii="Times New Roman" w:eastAsia="Times New Roman" w:hAnsi="Times New Roman" w:cs="Times New Roman"/>
                <w:sz w:val="16"/>
                <w:szCs w:val="16"/>
              </w:rPr>
            </w:pPr>
            <w:r w:rsidRPr="000277B2">
              <w:rPr>
                <w:rFonts w:ascii="Times New Roman" w:eastAsia="Times New Roman" w:hAnsi="Times New Roman" w:cs="Times New Roman"/>
                <w:sz w:val="16"/>
                <w:szCs w:val="16"/>
              </w:rPr>
              <w:t>Firm FE</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r>
      <w:tr w:rsidR="008C32AE" w:rsidRPr="000277B2" w:rsidTr="00130BF5">
        <w:trPr>
          <w:trHeight w:val="198"/>
          <w:jc w:val="center"/>
        </w:trPr>
        <w:tc>
          <w:tcPr>
            <w:tcW w:w="1485" w:type="dxa"/>
            <w:tcBorders>
              <w:top w:val="nil"/>
              <w:left w:val="nil"/>
              <w:bottom w:val="nil"/>
              <w:right w:val="nil"/>
            </w:tcBorders>
            <w:vAlign w:val="center"/>
          </w:tcPr>
          <w:p w:rsidR="008C32AE" w:rsidRPr="000277B2" w:rsidRDefault="008C32AE" w:rsidP="002A7DE0">
            <w:pPr>
              <w:spacing w:after="0" w:line="240" w:lineRule="auto"/>
              <w:rPr>
                <w:rFonts w:ascii="Times New Roman" w:eastAsia="Times New Roman" w:hAnsi="Times New Roman" w:cs="Times New Roman"/>
                <w:sz w:val="16"/>
                <w:szCs w:val="16"/>
              </w:rPr>
            </w:pPr>
            <w:r w:rsidRPr="000277B2">
              <w:rPr>
                <w:rFonts w:ascii="Times New Roman" w:eastAsia="Times New Roman" w:hAnsi="Times New Roman" w:cs="Times New Roman"/>
                <w:sz w:val="16"/>
                <w:szCs w:val="16"/>
              </w:rPr>
              <w:t>Industry-Time FE</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40" w:type="dxa"/>
            <w:tcBorders>
              <w:top w:val="nil"/>
              <w:left w:val="nil"/>
              <w:bottom w:val="nil"/>
              <w:right w:val="nil"/>
            </w:tcBorders>
          </w:tcPr>
          <w:p w:rsidR="008C32AE" w:rsidRPr="000277B2" w:rsidRDefault="008C32AE" w:rsidP="002A7DE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r>
      <w:tr w:rsidR="00223B75" w:rsidRPr="000277B2" w:rsidTr="00130BF5">
        <w:trPr>
          <w:trHeight w:val="226"/>
          <w:jc w:val="center"/>
        </w:trPr>
        <w:tc>
          <w:tcPr>
            <w:tcW w:w="1485" w:type="dxa"/>
            <w:tcBorders>
              <w:top w:val="nil"/>
              <w:left w:val="nil"/>
              <w:bottom w:val="double" w:sz="4" w:space="0" w:color="auto"/>
              <w:right w:val="nil"/>
            </w:tcBorders>
          </w:tcPr>
          <w:p w:rsidR="00223B75" w:rsidRPr="00535E57" w:rsidRDefault="00223B75" w:rsidP="002A7DE0">
            <w:pPr>
              <w:widowControl w:val="0"/>
              <w:autoSpaceDE w:val="0"/>
              <w:autoSpaceDN w:val="0"/>
              <w:adjustRightInd w:val="0"/>
              <w:spacing w:after="0" w:line="240" w:lineRule="auto"/>
              <w:rPr>
                <w:rFonts w:ascii="Times New Roman" w:hAnsi="Times New Roman" w:cs="Times New Roman"/>
                <w:sz w:val="16"/>
                <w:szCs w:val="16"/>
              </w:rPr>
            </w:pPr>
            <w:r w:rsidRPr="00535E57">
              <w:rPr>
                <w:rFonts w:ascii="Times New Roman" w:hAnsi="Times New Roman" w:cs="Times New Roman"/>
                <w:sz w:val="16"/>
                <w:szCs w:val="16"/>
              </w:rPr>
              <w:t>Observations</w:t>
            </w:r>
          </w:p>
        </w:tc>
        <w:tc>
          <w:tcPr>
            <w:tcW w:w="1040" w:type="dxa"/>
            <w:tcBorders>
              <w:top w:val="nil"/>
              <w:left w:val="nil"/>
              <w:bottom w:val="double" w:sz="4" w:space="0" w:color="auto"/>
              <w:right w:val="nil"/>
            </w:tcBorders>
          </w:tcPr>
          <w:p w:rsidR="00223B75" w:rsidRPr="00223B75" w:rsidRDefault="00223B75" w:rsidP="005A07A2">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181,039</w:t>
            </w:r>
          </w:p>
        </w:tc>
        <w:tc>
          <w:tcPr>
            <w:tcW w:w="1040" w:type="dxa"/>
            <w:tcBorders>
              <w:top w:val="nil"/>
              <w:left w:val="nil"/>
              <w:bottom w:val="double" w:sz="4" w:space="0" w:color="auto"/>
              <w:right w:val="nil"/>
            </w:tcBorders>
          </w:tcPr>
          <w:p w:rsidR="00223B75" w:rsidRPr="00223B75" w:rsidRDefault="00223B75" w:rsidP="005A07A2">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184,837</w:t>
            </w:r>
          </w:p>
        </w:tc>
        <w:tc>
          <w:tcPr>
            <w:tcW w:w="1040" w:type="dxa"/>
            <w:tcBorders>
              <w:top w:val="nil"/>
              <w:left w:val="nil"/>
              <w:bottom w:val="double" w:sz="4" w:space="0" w:color="auto"/>
              <w:right w:val="nil"/>
            </w:tcBorders>
          </w:tcPr>
          <w:p w:rsidR="00223B75" w:rsidRPr="00223B75" w:rsidRDefault="00223B75" w:rsidP="005A07A2">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179,898</w:t>
            </w:r>
          </w:p>
        </w:tc>
        <w:tc>
          <w:tcPr>
            <w:tcW w:w="1040" w:type="dxa"/>
            <w:tcBorders>
              <w:top w:val="nil"/>
              <w:left w:val="nil"/>
              <w:bottom w:val="double" w:sz="4" w:space="0" w:color="auto"/>
              <w:right w:val="nil"/>
            </w:tcBorders>
          </w:tcPr>
          <w:p w:rsidR="00223B75" w:rsidRPr="00223B75" w:rsidRDefault="00223B75" w:rsidP="005A07A2">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175,307</w:t>
            </w:r>
          </w:p>
        </w:tc>
        <w:tc>
          <w:tcPr>
            <w:tcW w:w="1040" w:type="dxa"/>
            <w:tcBorders>
              <w:top w:val="nil"/>
              <w:left w:val="nil"/>
              <w:bottom w:val="double" w:sz="4" w:space="0" w:color="auto"/>
              <w:right w:val="nil"/>
            </w:tcBorders>
          </w:tcPr>
          <w:p w:rsidR="00223B75" w:rsidRPr="00223B75" w:rsidRDefault="00223B75" w:rsidP="005A07A2">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170,307</w:t>
            </w:r>
          </w:p>
        </w:tc>
        <w:tc>
          <w:tcPr>
            <w:tcW w:w="1040" w:type="dxa"/>
            <w:tcBorders>
              <w:top w:val="nil"/>
              <w:left w:val="nil"/>
              <w:bottom w:val="double" w:sz="4" w:space="0" w:color="auto"/>
              <w:right w:val="nil"/>
            </w:tcBorders>
          </w:tcPr>
          <w:p w:rsidR="00223B75" w:rsidRPr="00223B75" w:rsidRDefault="00223B75" w:rsidP="005A07A2">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186,984</w:t>
            </w:r>
          </w:p>
        </w:tc>
        <w:tc>
          <w:tcPr>
            <w:tcW w:w="1040" w:type="dxa"/>
            <w:tcBorders>
              <w:top w:val="nil"/>
              <w:left w:val="nil"/>
              <w:bottom w:val="double" w:sz="4" w:space="0" w:color="auto"/>
              <w:right w:val="nil"/>
            </w:tcBorders>
          </w:tcPr>
          <w:p w:rsidR="00223B75" w:rsidRPr="00223B75" w:rsidRDefault="00223B75" w:rsidP="005A07A2">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186,984</w:t>
            </w:r>
          </w:p>
        </w:tc>
        <w:tc>
          <w:tcPr>
            <w:tcW w:w="1040" w:type="dxa"/>
            <w:tcBorders>
              <w:top w:val="nil"/>
              <w:left w:val="nil"/>
              <w:bottom w:val="double" w:sz="4" w:space="0" w:color="auto"/>
              <w:right w:val="nil"/>
            </w:tcBorders>
          </w:tcPr>
          <w:p w:rsidR="00223B75" w:rsidRPr="00223B75" w:rsidRDefault="00223B75" w:rsidP="005A07A2">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169,986</w:t>
            </w:r>
          </w:p>
        </w:tc>
        <w:tc>
          <w:tcPr>
            <w:tcW w:w="1040" w:type="dxa"/>
            <w:tcBorders>
              <w:top w:val="nil"/>
              <w:left w:val="nil"/>
              <w:bottom w:val="double" w:sz="4" w:space="0" w:color="auto"/>
              <w:right w:val="nil"/>
            </w:tcBorders>
          </w:tcPr>
          <w:p w:rsidR="00223B75" w:rsidRPr="00223B75" w:rsidRDefault="00223B75" w:rsidP="005A07A2">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167,256</w:t>
            </w:r>
          </w:p>
        </w:tc>
        <w:tc>
          <w:tcPr>
            <w:tcW w:w="1040" w:type="dxa"/>
            <w:tcBorders>
              <w:top w:val="nil"/>
              <w:left w:val="nil"/>
              <w:bottom w:val="double" w:sz="4" w:space="0" w:color="auto"/>
              <w:right w:val="nil"/>
            </w:tcBorders>
          </w:tcPr>
          <w:p w:rsidR="00223B75" w:rsidRPr="00223B75" w:rsidRDefault="00223B75" w:rsidP="005A07A2">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150,421</w:t>
            </w:r>
          </w:p>
        </w:tc>
        <w:tc>
          <w:tcPr>
            <w:tcW w:w="1040" w:type="dxa"/>
            <w:tcBorders>
              <w:top w:val="nil"/>
              <w:left w:val="nil"/>
              <w:bottom w:val="double" w:sz="4" w:space="0" w:color="auto"/>
              <w:right w:val="nil"/>
            </w:tcBorders>
          </w:tcPr>
          <w:p w:rsidR="00223B75" w:rsidRPr="00223B75" w:rsidRDefault="00223B75" w:rsidP="005A07A2">
            <w:pPr>
              <w:widowControl w:val="0"/>
              <w:autoSpaceDE w:val="0"/>
              <w:autoSpaceDN w:val="0"/>
              <w:adjustRightInd w:val="0"/>
              <w:spacing w:after="0" w:line="240" w:lineRule="auto"/>
              <w:jc w:val="center"/>
              <w:rPr>
                <w:rFonts w:ascii="Times New Roman" w:hAnsi="Times New Roman" w:cs="Times New Roman"/>
                <w:sz w:val="16"/>
                <w:szCs w:val="24"/>
              </w:rPr>
            </w:pPr>
            <w:r w:rsidRPr="00223B75">
              <w:rPr>
                <w:rFonts w:ascii="Times New Roman" w:hAnsi="Times New Roman" w:cs="Times New Roman"/>
                <w:sz w:val="16"/>
                <w:szCs w:val="24"/>
              </w:rPr>
              <w:t>181,039</w:t>
            </w:r>
          </w:p>
        </w:tc>
      </w:tr>
    </w:tbl>
    <w:p w:rsidR="008C32AE" w:rsidRPr="00EE1141" w:rsidRDefault="008C32AE" w:rsidP="000516CE">
      <w:pPr>
        <w:spacing w:after="240" w:line="240" w:lineRule="auto"/>
        <w:ind w:firstLine="288"/>
        <w:jc w:val="both"/>
        <w:rPr>
          <w:rFonts w:ascii="Times New Roman" w:hAnsi="Times New Roman" w:cs="Times New Roman"/>
          <w:sz w:val="16"/>
          <w:szCs w:val="16"/>
        </w:rPr>
      </w:pPr>
    </w:p>
    <w:tbl>
      <w:tblPr>
        <w:tblW w:w="12960" w:type="dxa"/>
        <w:jc w:val="center"/>
        <w:tblLayout w:type="fixed"/>
        <w:tblCellMar>
          <w:left w:w="75" w:type="dxa"/>
          <w:right w:w="75" w:type="dxa"/>
        </w:tblCellMar>
        <w:tblLook w:val="0000" w:firstRow="0" w:lastRow="0" w:firstColumn="0" w:lastColumn="0" w:noHBand="0" w:noVBand="0"/>
      </w:tblPr>
      <w:tblGrid>
        <w:gridCol w:w="1872"/>
        <w:gridCol w:w="1008"/>
        <w:gridCol w:w="1008"/>
        <w:gridCol w:w="1008"/>
        <w:gridCol w:w="1008"/>
        <w:gridCol w:w="1008"/>
        <w:gridCol w:w="1008"/>
        <w:gridCol w:w="1008"/>
        <w:gridCol w:w="1008"/>
        <w:gridCol w:w="1008"/>
        <w:gridCol w:w="1008"/>
        <w:gridCol w:w="1008"/>
      </w:tblGrid>
      <w:tr w:rsidR="005706AE" w:rsidRPr="005706AE" w:rsidTr="005706AE">
        <w:trPr>
          <w:trHeight w:val="255"/>
          <w:jc w:val="center"/>
        </w:trPr>
        <w:tc>
          <w:tcPr>
            <w:tcW w:w="12960" w:type="dxa"/>
            <w:gridSpan w:val="12"/>
            <w:tcBorders>
              <w:top w:val="double" w:sz="4" w:space="0" w:color="auto"/>
              <w:left w:val="nil"/>
              <w:bottom w:val="single" w:sz="4" w:space="0" w:color="auto"/>
              <w:right w:val="nil"/>
            </w:tcBorders>
          </w:tcPr>
          <w:p w:rsidR="005706AE" w:rsidRPr="005706AE" w:rsidRDefault="005706AE" w:rsidP="00FB55ED">
            <w:pPr>
              <w:widowControl w:val="0"/>
              <w:autoSpaceDE w:val="0"/>
              <w:autoSpaceDN w:val="0"/>
              <w:adjustRightInd w:val="0"/>
              <w:spacing w:after="0" w:line="240" w:lineRule="auto"/>
              <w:jc w:val="center"/>
              <w:rPr>
                <w:rFonts w:ascii="Times New Roman" w:hAnsi="Times New Roman" w:cs="Times New Roman"/>
                <w:sz w:val="20"/>
                <w:szCs w:val="16"/>
              </w:rPr>
            </w:pPr>
            <w:r w:rsidRPr="005706AE">
              <w:rPr>
                <w:rFonts w:ascii="Times New Roman" w:hAnsi="Times New Roman" w:cs="Times New Roman"/>
                <w:sz w:val="20"/>
                <w:szCs w:val="16"/>
              </w:rPr>
              <w:t>Panel B: Regression at Aggregate (Country) Level</w:t>
            </w:r>
          </w:p>
        </w:tc>
      </w:tr>
      <w:tr w:rsidR="00535E57" w:rsidRPr="002C77BC" w:rsidTr="005706AE">
        <w:trPr>
          <w:trHeight w:val="255"/>
          <w:jc w:val="center"/>
        </w:trPr>
        <w:tc>
          <w:tcPr>
            <w:tcW w:w="12960" w:type="dxa"/>
            <w:gridSpan w:val="12"/>
            <w:tcBorders>
              <w:top w:val="single" w:sz="4" w:space="0" w:color="auto"/>
              <w:left w:val="nil"/>
              <w:right w:val="nil"/>
            </w:tcBorders>
          </w:tcPr>
          <w:p w:rsidR="00535E57" w:rsidRPr="002C77BC" w:rsidRDefault="00535E57" w:rsidP="00FB55ED">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8"/>
                <w:szCs w:val="16"/>
              </w:rPr>
              <w:t>Country Characteristics (COUNTRY)</w:t>
            </w:r>
          </w:p>
        </w:tc>
      </w:tr>
      <w:tr w:rsidR="00535E57" w:rsidRPr="002C77BC" w:rsidTr="005706AE">
        <w:trPr>
          <w:jc w:val="center"/>
        </w:trPr>
        <w:tc>
          <w:tcPr>
            <w:tcW w:w="1872" w:type="dxa"/>
            <w:tcBorders>
              <w:left w:val="nil"/>
              <w:bottom w:val="single" w:sz="6" w:space="0" w:color="auto"/>
              <w:right w:val="nil"/>
            </w:tcBorders>
          </w:tcPr>
          <w:p w:rsidR="00535E57" w:rsidRPr="002C77BC" w:rsidRDefault="00050F48" w:rsidP="00FB55ED">
            <w:pPr>
              <w:widowControl w:val="0"/>
              <w:autoSpaceDE w:val="0"/>
              <w:autoSpaceDN w:val="0"/>
              <w:adjustRightInd w:val="0"/>
              <w:spacing w:after="0" w:line="240" w:lineRule="auto"/>
              <w:rPr>
                <w:rFonts w:ascii="Times New Roman" w:hAnsi="Times New Roman" w:cs="Times New Roman"/>
                <w:sz w:val="16"/>
                <w:szCs w:val="16"/>
              </w:rPr>
            </w:pPr>
            <w:r w:rsidRPr="00050F48">
              <w:rPr>
                <w:rFonts w:ascii="Times New Roman" w:hAnsi="Times New Roman" w:cs="Times New Roman"/>
                <w:sz w:val="18"/>
                <w:szCs w:val="16"/>
              </w:rPr>
              <w:t>Variables</w:t>
            </w:r>
          </w:p>
        </w:tc>
        <w:tc>
          <w:tcPr>
            <w:tcW w:w="1008" w:type="dxa"/>
            <w:tcBorders>
              <w:left w:val="nil"/>
              <w:bottom w:val="single" w:sz="6" w:space="0" w:color="auto"/>
              <w:right w:val="nil"/>
            </w:tcBorders>
          </w:tcPr>
          <w:p w:rsidR="00535E57" w:rsidRPr="002C77BC" w:rsidRDefault="00535E57" w:rsidP="00FB55ED">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6"/>
                <w:szCs w:val="16"/>
              </w:rPr>
              <w:t>AD</w:t>
            </w:r>
          </w:p>
        </w:tc>
        <w:tc>
          <w:tcPr>
            <w:tcW w:w="1008" w:type="dxa"/>
            <w:tcBorders>
              <w:left w:val="nil"/>
              <w:bottom w:val="single" w:sz="6" w:space="0" w:color="auto"/>
              <w:right w:val="nil"/>
            </w:tcBorders>
          </w:tcPr>
          <w:p w:rsidR="00535E57" w:rsidRPr="002C77BC" w:rsidRDefault="00535E57" w:rsidP="00FB55ED">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6"/>
                <w:szCs w:val="16"/>
              </w:rPr>
              <w:t>AS</w:t>
            </w:r>
          </w:p>
        </w:tc>
        <w:tc>
          <w:tcPr>
            <w:tcW w:w="1008" w:type="dxa"/>
            <w:tcBorders>
              <w:left w:val="nil"/>
              <w:bottom w:val="single" w:sz="6" w:space="0" w:color="auto"/>
              <w:right w:val="nil"/>
            </w:tcBorders>
          </w:tcPr>
          <w:p w:rsidR="00535E57" w:rsidRPr="002C77BC" w:rsidRDefault="00535E57" w:rsidP="00FB55ED">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6"/>
                <w:szCs w:val="16"/>
              </w:rPr>
              <w:t>DISC</w:t>
            </w:r>
          </w:p>
        </w:tc>
        <w:tc>
          <w:tcPr>
            <w:tcW w:w="1008" w:type="dxa"/>
            <w:tcBorders>
              <w:left w:val="nil"/>
              <w:bottom w:val="single" w:sz="6" w:space="0" w:color="auto"/>
              <w:right w:val="nil"/>
            </w:tcBorders>
          </w:tcPr>
          <w:p w:rsidR="00535E57" w:rsidRPr="002C77BC" w:rsidRDefault="00535E57" w:rsidP="00FB55ED">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6"/>
                <w:szCs w:val="16"/>
              </w:rPr>
              <w:t>ACCT</w:t>
            </w:r>
          </w:p>
        </w:tc>
        <w:tc>
          <w:tcPr>
            <w:tcW w:w="1008" w:type="dxa"/>
            <w:tcBorders>
              <w:left w:val="nil"/>
              <w:bottom w:val="single" w:sz="6" w:space="0" w:color="auto"/>
              <w:right w:val="nil"/>
            </w:tcBorders>
          </w:tcPr>
          <w:p w:rsidR="00535E57" w:rsidRPr="002C77BC" w:rsidRDefault="00535E57" w:rsidP="00FB55ED">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6"/>
                <w:szCs w:val="16"/>
              </w:rPr>
              <w:t>EM</w:t>
            </w:r>
          </w:p>
        </w:tc>
        <w:tc>
          <w:tcPr>
            <w:tcW w:w="1008" w:type="dxa"/>
            <w:tcBorders>
              <w:left w:val="nil"/>
              <w:bottom w:val="single" w:sz="6" w:space="0" w:color="auto"/>
              <w:right w:val="nil"/>
            </w:tcBorders>
          </w:tcPr>
          <w:p w:rsidR="00535E57" w:rsidRPr="002C77BC"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6"/>
                <w:szCs w:val="16"/>
              </w:rPr>
              <w:t>UK</w:t>
            </w:r>
          </w:p>
        </w:tc>
        <w:tc>
          <w:tcPr>
            <w:tcW w:w="1008" w:type="dxa"/>
            <w:tcBorders>
              <w:left w:val="nil"/>
              <w:bottom w:val="single" w:sz="6" w:space="0" w:color="auto"/>
              <w:right w:val="nil"/>
            </w:tcBorders>
          </w:tcPr>
          <w:p w:rsidR="00535E57" w:rsidRPr="002C77BC"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6"/>
                <w:szCs w:val="16"/>
              </w:rPr>
              <w:t>RULE</w:t>
            </w:r>
          </w:p>
        </w:tc>
        <w:tc>
          <w:tcPr>
            <w:tcW w:w="1008" w:type="dxa"/>
            <w:tcBorders>
              <w:left w:val="nil"/>
              <w:bottom w:val="single" w:sz="6" w:space="0" w:color="auto"/>
              <w:right w:val="nil"/>
            </w:tcBorders>
          </w:tcPr>
          <w:p w:rsidR="00535E57" w:rsidRPr="002C77BC"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6"/>
                <w:szCs w:val="16"/>
              </w:rPr>
              <w:t>EQUITY</w:t>
            </w:r>
          </w:p>
        </w:tc>
        <w:tc>
          <w:tcPr>
            <w:tcW w:w="1008" w:type="dxa"/>
            <w:tcBorders>
              <w:left w:val="nil"/>
              <w:bottom w:val="single" w:sz="6" w:space="0" w:color="auto"/>
              <w:right w:val="nil"/>
            </w:tcBorders>
          </w:tcPr>
          <w:p w:rsidR="00535E57" w:rsidRPr="002C77BC" w:rsidRDefault="00535E57" w:rsidP="00FB55ED">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6"/>
                <w:szCs w:val="16"/>
              </w:rPr>
              <w:t>CREDIT</w:t>
            </w:r>
          </w:p>
        </w:tc>
        <w:tc>
          <w:tcPr>
            <w:tcW w:w="1008" w:type="dxa"/>
            <w:tcBorders>
              <w:left w:val="nil"/>
              <w:bottom w:val="single" w:sz="6" w:space="0" w:color="auto"/>
              <w:right w:val="nil"/>
            </w:tcBorders>
          </w:tcPr>
          <w:p w:rsidR="00535E57" w:rsidRPr="002C77BC" w:rsidRDefault="00535E57" w:rsidP="00FB55ED">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6"/>
                <w:szCs w:val="16"/>
              </w:rPr>
              <w:t>FD</w:t>
            </w:r>
          </w:p>
        </w:tc>
        <w:tc>
          <w:tcPr>
            <w:tcW w:w="1008" w:type="dxa"/>
            <w:tcBorders>
              <w:left w:val="nil"/>
              <w:bottom w:val="single" w:sz="6" w:space="0" w:color="auto"/>
              <w:right w:val="nil"/>
            </w:tcBorders>
          </w:tcPr>
          <w:p w:rsidR="00535E57" w:rsidRPr="002C77BC" w:rsidRDefault="00535E57" w:rsidP="00FB55ED">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6"/>
                <w:szCs w:val="16"/>
              </w:rPr>
              <w:t>IPO</w:t>
            </w:r>
          </w:p>
        </w:tc>
      </w:tr>
      <w:tr w:rsidR="00452779" w:rsidRPr="002C77BC" w:rsidTr="005A07A2">
        <w:trPr>
          <w:trHeight w:val="237"/>
          <w:jc w:val="center"/>
        </w:trPr>
        <w:tc>
          <w:tcPr>
            <w:tcW w:w="1872" w:type="dxa"/>
            <w:tcBorders>
              <w:top w:val="nil"/>
              <w:left w:val="nil"/>
              <w:bottom w:val="nil"/>
              <w:right w:val="nil"/>
            </w:tcBorders>
            <w:vAlign w:val="bottom"/>
          </w:tcPr>
          <w:p w:rsidR="00452779" w:rsidRPr="002C77BC" w:rsidRDefault="00452779" w:rsidP="00130BF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L</w:t>
            </w:r>
            <w:r w:rsidRPr="002C77BC">
              <w:rPr>
                <w:rFonts w:ascii="Times New Roman" w:hAnsi="Times New Roman" w:cs="Times New Roman"/>
                <w:sz w:val="16"/>
                <w:szCs w:val="16"/>
              </w:rPr>
              <w:t>og_GDP</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0.517</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0.470</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0.856</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1.032</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0.471</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0.374</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0.118</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0.539</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0.222</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0.401</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0.495</w:t>
            </w:r>
          </w:p>
        </w:tc>
      </w:tr>
      <w:tr w:rsidR="00452779" w:rsidRPr="002C77BC" w:rsidTr="00535E57">
        <w:trPr>
          <w:jc w:val="center"/>
        </w:trPr>
        <w:tc>
          <w:tcPr>
            <w:tcW w:w="1872" w:type="dxa"/>
            <w:tcBorders>
              <w:top w:val="nil"/>
              <w:left w:val="nil"/>
              <w:bottom w:val="nil"/>
              <w:right w:val="nil"/>
            </w:tcBorders>
          </w:tcPr>
          <w:p w:rsidR="00452779" w:rsidRPr="002C77BC" w:rsidRDefault="00452779" w:rsidP="00FB55ED">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(0.661)</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(0.613)</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(0.613)</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(0.786)</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(0.612)</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(0.561)</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(0.596)</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(0.577)</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(0.605)</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(0.592)</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(0.666)</w:t>
            </w:r>
          </w:p>
        </w:tc>
      </w:tr>
      <w:tr w:rsidR="00452779" w:rsidRPr="002C77BC" w:rsidTr="00535E57">
        <w:trPr>
          <w:jc w:val="center"/>
        </w:trPr>
        <w:tc>
          <w:tcPr>
            <w:tcW w:w="1872" w:type="dxa"/>
            <w:tcBorders>
              <w:top w:val="nil"/>
              <w:left w:val="nil"/>
              <w:bottom w:val="nil"/>
              <w:right w:val="nil"/>
            </w:tcBorders>
          </w:tcPr>
          <w:p w:rsidR="00452779" w:rsidRPr="002C77BC" w:rsidRDefault="00452779" w:rsidP="00FB55ED">
            <w:pPr>
              <w:widowControl w:val="0"/>
              <w:autoSpaceDE w:val="0"/>
              <w:autoSpaceDN w:val="0"/>
              <w:adjustRightInd w:val="0"/>
              <w:spacing w:after="0" w:line="240" w:lineRule="auto"/>
              <w:rPr>
                <w:rFonts w:ascii="Times New Roman" w:hAnsi="Times New Roman" w:cs="Times New Roman"/>
                <w:sz w:val="16"/>
                <w:szCs w:val="16"/>
              </w:rPr>
            </w:pPr>
            <w:r w:rsidRPr="002C77BC">
              <w:rPr>
                <w:rFonts w:ascii="Times New Roman" w:hAnsi="Times New Roman" w:cs="Times New Roman"/>
                <w:sz w:val="16"/>
                <w:szCs w:val="16"/>
              </w:rPr>
              <w:t>GDP_GRO</w:t>
            </w:r>
          </w:p>
        </w:tc>
        <w:tc>
          <w:tcPr>
            <w:tcW w:w="1008" w:type="dxa"/>
            <w:tcBorders>
              <w:top w:val="nil"/>
              <w:left w:val="nil"/>
              <w:bottom w:val="nil"/>
              <w:right w:val="nil"/>
            </w:tcBorders>
          </w:tcPr>
          <w:p w:rsidR="00452779" w:rsidRPr="00452779" w:rsidRDefault="00452779" w:rsidP="003F7D8D">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-0.002</w:t>
            </w:r>
            <w:r w:rsidR="003F7D8D">
              <w:rPr>
                <w:rFonts w:ascii="Times New Roman" w:hAnsi="Times New Roman" w:cs="Times New Roman"/>
                <w:sz w:val="16"/>
                <w:szCs w:val="16"/>
              </w:rPr>
              <w:t>4</w:t>
            </w:r>
          </w:p>
        </w:tc>
        <w:tc>
          <w:tcPr>
            <w:tcW w:w="1008" w:type="dxa"/>
            <w:tcBorders>
              <w:top w:val="nil"/>
              <w:left w:val="nil"/>
              <w:bottom w:val="nil"/>
              <w:right w:val="nil"/>
            </w:tcBorders>
          </w:tcPr>
          <w:p w:rsidR="00452779" w:rsidRPr="00452779" w:rsidRDefault="00452779" w:rsidP="003F7D8D">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0.009</w:t>
            </w:r>
            <w:r w:rsidR="003F7D8D">
              <w:rPr>
                <w:rFonts w:ascii="Times New Roman" w:hAnsi="Times New Roman" w:cs="Times New Roman"/>
                <w:sz w:val="16"/>
                <w:szCs w:val="16"/>
              </w:rPr>
              <w:t>1</w:t>
            </w:r>
          </w:p>
        </w:tc>
        <w:tc>
          <w:tcPr>
            <w:tcW w:w="1008" w:type="dxa"/>
            <w:tcBorders>
              <w:top w:val="nil"/>
              <w:left w:val="nil"/>
              <w:bottom w:val="nil"/>
              <w:right w:val="nil"/>
            </w:tcBorders>
          </w:tcPr>
          <w:p w:rsidR="00452779" w:rsidRPr="00452779" w:rsidRDefault="00452779" w:rsidP="003F7D8D">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0.008</w:t>
            </w:r>
            <w:r w:rsidR="003F7D8D">
              <w:rPr>
                <w:rFonts w:ascii="Times New Roman" w:hAnsi="Times New Roman" w:cs="Times New Roman"/>
                <w:sz w:val="16"/>
                <w:szCs w:val="16"/>
              </w:rPr>
              <w:t>3</w:t>
            </w:r>
          </w:p>
        </w:tc>
        <w:tc>
          <w:tcPr>
            <w:tcW w:w="1008" w:type="dxa"/>
            <w:tcBorders>
              <w:top w:val="nil"/>
              <w:left w:val="nil"/>
              <w:bottom w:val="nil"/>
              <w:right w:val="nil"/>
            </w:tcBorders>
          </w:tcPr>
          <w:p w:rsidR="00452779" w:rsidRPr="00452779" w:rsidRDefault="00452779" w:rsidP="003F7D8D">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w:t>
            </w:r>
            <w:r w:rsidR="003F7D8D">
              <w:rPr>
                <w:rFonts w:ascii="Times New Roman" w:hAnsi="Times New Roman" w:cs="Times New Roman"/>
                <w:sz w:val="16"/>
                <w:szCs w:val="16"/>
              </w:rPr>
              <w:t>40</w:t>
            </w:r>
          </w:p>
        </w:tc>
        <w:tc>
          <w:tcPr>
            <w:tcW w:w="1008" w:type="dxa"/>
            <w:tcBorders>
              <w:top w:val="nil"/>
              <w:left w:val="nil"/>
              <w:bottom w:val="nil"/>
              <w:right w:val="nil"/>
            </w:tcBorders>
          </w:tcPr>
          <w:p w:rsidR="00452779" w:rsidRPr="00452779" w:rsidRDefault="00452779" w:rsidP="003F7D8D">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0.0057</w:t>
            </w:r>
          </w:p>
        </w:tc>
        <w:tc>
          <w:tcPr>
            <w:tcW w:w="1008" w:type="dxa"/>
            <w:tcBorders>
              <w:top w:val="nil"/>
              <w:left w:val="nil"/>
              <w:bottom w:val="nil"/>
              <w:right w:val="nil"/>
            </w:tcBorders>
          </w:tcPr>
          <w:p w:rsidR="00452779" w:rsidRPr="00452779" w:rsidRDefault="00452779" w:rsidP="003F7D8D">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-0.0035</w:t>
            </w:r>
          </w:p>
        </w:tc>
        <w:tc>
          <w:tcPr>
            <w:tcW w:w="1008" w:type="dxa"/>
            <w:tcBorders>
              <w:top w:val="nil"/>
              <w:left w:val="nil"/>
              <w:bottom w:val="nil"/>
              <w:right w:val="nil"/>
            </w:tcBorders>
          </w:tcPr>
          <w:p w:rsidR="00452779" w:rsidRPr="00452779" w:rsidRDefault="00452779" w:rsidP="003F7D8D">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-0.0039</w:t>
            </w:r>
          </w:p>
        </w:tc>
        <w:tc>
          <w:tcPr>
            <w:tcW w:w="1008" w:type="dxa"/>
            <w:tcBorders>
              <w:top w:val="nil"/>
              <w:left w:val="nil"/>
              <w:bottom w:val="nil"/>
              <w:right w:val="nil"/>
            </w:tcBorders>
          </w:tcPr>
          <w:p w:rsidR="00452779" w:rsidRPr="00452779" w:rsidRDefault="00452779" w:rsidP="003F7D8D">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0.0006</w:t>
            </w:r>
          </w:p>
        </w:tc>
        <w:tc>
          <w:tcPr>
            <w:tcW w:w="1008" w:type="dxa"/>
            <w:tcBorders>
              <w:top w:val="nil"/>
              <w:left w:val="nil"/>
              <w:bottom w:val="nil"/>
              <w:right w:val="nil"/>
            </w:tcBorders>
          </w:tcPr>
          <w:p w:rsidR="00452779" w:rsidRPr="00452779" w:rsidRDefault="00452779" w:rsidP="003F7D8D">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0.0030</w:t>
            </w:r>
          </w:p>
        </w:tc>
        <w:tc>
          <w:tcPr>
            <w:tcW w:w="1008" w:type="dxa"/>
            <w:tcBorders>
              <w:top w:val="nil"/>
              <w:left w:val="nil"/>
              <w:bottom w:val="nil"/>
              <w:right w:val="nil"/>
            </w:tcBorders>
          </w:tcPr>
          <w:p w:rsidR="00452779" w:rsidRPr="00452779" w:rsidRDefault="00452779" w:rsidP="003F7D8D">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-0.000</w:t>
            </w:r>
            <w:r w:rsidR="003F7D8D">
              <w:rPr>
                <w:rFonts w:ascii="Times New Roman" w:hAnsi="Times New Roman" w:cs="Times New Roman"/>
                <w:sz w:val="16"/>
                <w:szCs w:val="16"/>
              </w:rPr>
              <w:t>6</w:t>
            </w:r>
          </w:p>
        </w:tc>
        <w:tc>
          <w:tcPr>
            <w:tcW w:w="1008" w:type="dxa"/>
            <w:tcBorders>
              <w:top w:val="nil"/>
              <w:left w:val="nil"/>
              <w:bottom w:val="nil"/>
              <w:right w:val="nil"/>
            </w:tcBorders>
          </w:tcPr>
          <w:p w:rsidR="00452779" w:rsidRPr="00452779" w:rsidRDefault="00452779" w:rsidP="003F7D8D">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-0.0010</w:t>
            </w:r>
          </w:p>
        </w:tc>
      </w:tr>
      <w:tr w:rsidR="00452779" w:rsidRPr="002C77BC" w:rsidTr="00535E57">
        <w:trPr>
          <w:jc w:val="center"/>
        </w:trPr>
        <w:tc>
          <w:tcPr>
            <w:tcW w:w="1872" w:type="dxa"/>
            <w:tcBorders>
              <w:top w:val="nil"/>
              <w:left w:val="nil"/>
              <w:bottom w:val="nil"/>
              <w:right w:val="nil"/>
            </w:tcBorders>
          </w:tcPr>
          <w:p w:rsidR="00452779" w:rsidRPr="002C77BC" w:rsidRDefault="00452779" w:rsidP="00FB55ED">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452779" w:rsidRPr="00452779" w:rsidRDefault="00452779" w:rsidP="003A641B">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(0.008</w:t>
            </w:r>
            <w:r w:rsidR="003A641B">
              <w:rPr>
                <w:rFonts w:ascii="Times New Roman" w:hAnsi="Times New Roman" w:cs="Times New Roman"/>
                <w:sz w:val="16"/>
                <w:szCs w:val="16"/>
              </w:rPr>
              <w:t>4</w:t>
            </w:r>
            <w:r w:rsidRPr="00452779">
              <w:rPr>
                <w:rFonts w:ascii="Times New Roman" w:hAnsi="Times New Roman" w:cs="Times New Roman"/>
                <w:sz w:val="16"/>
                <w:szCs w:val="16"/>
              </w:rPr>
              <w:t>)</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(0.0107)</w:t>
            </w:r>
          </w:p>
        </w:tc>
        <w:tc>
          <w:tcPr>
            <w:tcW w:w="1008" w:type="dxa"/>
            <w:tcBorders>
              <w:top w:val="nil"/>
              <w:left w:val="nil"/>
              <w:bottom w:val="nil"/>
              <w:right w:val="nil"/>
            </w:tcBorders>
          </w:tcPr>
          <w:p w:rsidR="00452779" w:rsidRPr="00452779" w:rsidRDefault="00452779" w:rsidP="003A641B">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(0.0097)</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(0.0104)</w:t>
            </w:r>
          </w:p>
        </w:tc>
        <w:tc>
          <w:tcPr>
            <w:tcW w:w="1008" w:type="dxa"/>
            <w:tcBorders>
              <w:top w:val="nil"/>
              <w:left w:val="nil"/>
              <w:bottom w:val="nil"/>
              <w:right w:val="nil"/>
            </w:tcBorders>
          </w:tcPr>
          <w:p w:rsidR="00452779" w:rsidRPr="00452779" w:rsidRDefault="003A641B" w:rsidP="005A07A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(0.0092</w:t>
            </w:r>
            <w:r w:rsidR="00452779" w:rsidRPr="00452779">
              <w:rPr>
                <w:rFonts w:ascii="Times New Roman" w:hAnsi="Times New Roman" w:cs="Times New Roman"/>
                <w:sz w:val="16"/>
                <w:szCs w:val="16"/>
              </w:rPr>
              <w:t>)</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(0.0126)</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(0.0128)</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(0.0115)</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(0.0141)</w:t>
            </w:r>
          </w:p>
        </w:tc>
        <w:tc>
          <w:tcPr>
            <w:tcW w:w="1008" w:type="dxa"/>
            <w:tcBorders>
              <w:top w:val="nil"/>
              <w:left w:val="nil"/>
              <w:bottom w:val="nil"/>
              <w:right w:val="nil"/>
            </w:tcBorders>
          </w:tcPr>
          <w:p w:rsidR="00452779" w:rsidRPr="00452779" w:rsidRDefault="00452779"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(0.0117)</w:t>
            </w:r>
          </w:p>
        </w:tc>
        <w:tc>
          <w:tcPr>
            <w:tcW w:w="1008" w:type="dxa"/>
            <w:tcBorders>
              <w:top w:val="nil"/>
              <w:left w:val="nil"/>
              <w:bottom w:val="nil"/>
              <w:right w:val="nil"/>
            </w:tcBorders>
          </w:tcPr>
          <w:p w:rsidR="00452779" w:rsidRPr="00452779" w:rsidRDefault="003A641B" w:rsidP="005A07A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(0.0085</w:t>
            </w:r>
            <w:r w:rsidR="00452779" w:rsidRPr="00452779">
              <w:rPr>
                <w:rFonts w:ascii="Times New Roman" w:hAnsi="Times New Roman" w:cs="Times New Roman"/>
                <w:sz w:val="16"/>
                <w:szCs w:val="16"/>
              </w:rPr>
              <w:t>)</w:t>
            </w:r>
          </w:p>
        </w:tc>
      </w:tr>
      <w:tr w:rsidR="00050F48" w:rsidRPr="002C77BC" w:rsidTr="00535E57">
        <w:trPr>
          <w:jc w:val="center"/>
        </w:trPr>
        <w:tc>
          <w:tcPr>
            <w:tcW w:w="1872" w:type="dxa"/>
            <w:tcBorders>
              <w:top w:val="nil"/>
              <w:left w:val="nil"/>
              <w:bottom w:val="nil"/>
              <w:right w:val="nil"/>
            </w:tcBorders>
          </w:tcPr>
          <w:p w:rsidR="00050F48" w:rsidRPr="002C77BC" w:rsidRDefault="00050F48" w:rsidP="00115919">
            <w:pPr>
              <w:widowControl w:val="0"/>
              <w:autoSpaceDE w:val="0"/>
              <w:autoSpaceDN w:val="0"/>
              <w:adjustRightInd w:val="0"/>
              <w:spacing w:after="0" w:line="240" w:lineRule="auto"/>
              <w:rPr>
                <w:rFonts w:ascii="Times New Roman" w:hAnsi="Times New Roman" w:cs="Times New Roman"/>
                <w:sz w:val="16"/>
                <w:szCs w:val="16"/>
              </w:rPr>
            </w:pPr>
            <w:r w:rsidRPr="002C77BC">
              <w:rPr>
                <w:rFonts w:ascii="Times New Roman" w:hAnsi="Times New Roman" w:cs="Times New Roman"/>
                <w:sz w:val="16"/>
                <w:szCs w:val="16"/>
              </w:rPr>
              <w:t>COUNTRY</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-0.0232</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0.628</w:t>
            </w:r>
          </w:p>
        </w:tc>
        <w:tc>
          <w:tcPr>
            <w:tcW w:w="1008" w:type="dxa"/>
            <w:tcBorders>
              <w:top w:val="nil"/>
              <w:left w:val="nil"/>
              <w:bottom w:val="nil"/>
              <w:right w:val="nil"/>
            </w:tcBorders>
          </w:tcPr>
          <w:p w:rsidR="00050F48" w:rsidRPr="00452779" w:rsidRDefault="00050F48" w:rsidP="003A641B">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-0.000</w:t>
            </w:r>
            <w:r>
              <w:rPr>
                <w:rFonts w:ascii="Times New Roman" w:hAnsi="Times New Roman" w:cs="Times New Roman"/>
                <w:sz w:val="16"/>
                <w:szCs w:val="16"/>
              </w:rPr>
              <w:t>3</w:t>
            </w:r>
          </w:p>
        </w:tc>
        <w:tc>
          <w:tcPr>
            <w:tcW w:w="1008" w:type="dxa"/>
            <w:tcBorders>
              <w:top w:val="nil"/>
              <w:left w:val="nil"/>
              <w:bottom w:val="nil"/>
              <w:right w:val="nil"/>
            </w:tcBorders>
          </w:tcPr>
          <w:p w:rsidR="00050F48" w:rsidRPr="00452779" w:rsidRDefault="00050F48" w:rsidP="003A641B">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0.0064**</w:t>
            </w:r>
          </w:p>
        </w:tc>
        <w:tc>
          <w:tcPr>
            <w:tcW w:w="1008" w:type="dxa"/>
            <w:tcBorders>
              <w:top w:val="nil"/>
              <w:left w:val="nil"/>
              <w:bottom w:val="nil"/>
              <w:right w:val="nil"/>
            </w:tcBorders>
          </w:tcPr>
          <w:p w:rsidR="00050F48" w:rsidRPr="00452779" w:rsidRDefault="00050F48" w:rsidP="003A641B">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0.000</w:t>
            </w:r>
            <w:r>
              <w:rPr>
                <w:rFonts w:ascii="Times New Roman" w:hAnsi="Times New Roman" w:cs="Times New Roman"/>
                <w:sz w:val="16"/>
                <w:szCs w:val="16"/>
              </w:rPr>
              <w:t>3</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w:t>
            </w:r>
          </w:p>
        </w:tc>
      </w:tr>
      <w:tr w:rsidR="00050F48" w:rsidRPr="002C77BC" w:rsidTr="00535E57">
        <w:trPr>
          <w:jc w:val="center"/>
        </w:trPr>
        <w:tc>
          <w:tcPr>
            <w:tcW w:w="1872" w:type="dxa"/>
            <w:tcBorders>
              <w:top w:val="nil"/>
              <w:left w:val="nil"/>
              <w:bottom w:val="nil"/>
              <w:right w:val="nil"/>
            </w:tcBorders>
          </w:tcPr>
          <w:p w:rsidR="00050F48" w:rsidRPr="002C77BC" w:rsidRDefault="00050F48" w:rsidP="00115919">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(0.0419)</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(0.395)</w:t>
            </w:r>
          </w:p>
        </w:tc>
        <w:tc>
          <w:tcPr>
            <w:tcW w:w="1008" w:type="dxa"/>
            <w:tcBorders>
              <w:top w:val="nil"/>
              <w:left w:val="nil"/>
              <w:bottom w:val="nil"/>
              <w:right w:val="nil"/>
            </w:tcBorders>
          </w:tcPr>
          <w:p w:rsidR="00050F48" w:rsidRPr="00452779" w:rsidRDefault="00050F48" w:rsidP="003A641B">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(0.000</w:t>
            </w:r>
            <w:r>
              <w:rPr>
                <w:rFonts w:ascii="Times New Roman" w:hAnsi="Times New Roman" w:cs="Times New Roman"/>
                <w:sz w:val="16"/>
                <w:szCs w:val="16"/>
              </w:rPr>
              <w:t>5</w:t>
            </w:r>
            <w:r w:rsidRPr="00452779">
              <w:rPr>
                <w:rFonts w:ascii="Times New Roman" w:hAnsi="Times New Roman" w:cs="Times New Roman"/>
                <w:sz w:val="16"/>
                <w:szCs w:val="16"/>
              </w:rPr>
              <w:t>)</w:t>
            </w:r>
          </w:p>
        </w:tc>
        <w:tc>
          <w:tcPr>
            <w:tcW w:w="1008" w:type="dxa"/>
            <w:tcBorders>
              <w:top w:val="nil"/>
              <w:left w:val="nil"/>
              <w:bottom w:val="nil"/>
              <w:right w:val="nil"/>
            </w:tcBorders>
          </w:tcPr>
          <w:p w:rsidR="00050F48" w:rsidRPr="00452779" w:rsidRDefault="00050F48" w:rsidP="003A641B">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(0.002</w:t>
            </w:r>
            <w:r>
              <w:rPr>
                <w:rFonts w:ascii="Times New Roman" w:hAnsi="Times New Roman" w:cs="Times New Roman"/>
                <w:sz w:val="16"/>
                <w:szCs w:val="16"/>
              </w:rPr>
              <w:t>6</w:t>
            </w:r>
            <w:r w:rsidRPr="00452779">
              <w:rPr>
                <w:rFonts w:ascii="Times New Roman" w:hAnsi="Times New Roman" w:cs="Times New Roman"/>
                <w:sz w:val="16"/>
                <w:szCs w:val="16"/>
              </w:rPr>
              <w:t>)</w:t>
            </w:r>
          </w:p>
        </w:tc>
        <w:tc>
          <w:tcPr>
            <w:tcW w:w="1008" w:type="dxa"/>
            <w:tcBorders>
              <w:top w:val="nil"/>
              <w:left w:val="nil"/>
              <w:bottom w:val="nil"/>
              <w:right w:val="nil"/>
            </w:tcBorders>
          </w:tcPr>
          <w:p w:rsidR="00050F48" w:rsidRPr="00452779" w:rsidRDefault="00050F48" w:rsidP="003A641B">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(0.000</w:t>
            </w:r>
            <w:r>
              <w:rPr>
                <w:rFonts w:ascii="Times New Roman" w:hAnsi="Times New Roman" w:cs="Times New Roman"/>
                <w:sz w:val="16"/>
                <w:szCs w:val="16"/>
              </w:rPr>
              <w:t>4</w:t>
            </w:r>
            <w:r w:rsidRPr="00452779">
              <w:rPr>
                <w:rFonts w:ascii="Times New Roman" w:hAnsi="Times New Roman" w:cs="Times New Roman"/>
                <w:sz w:val="16"/>
                <w:szCs w:val="16"/>
              </w:rPr>
              <w:t>)</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p>
        </w:tc>
      </w:tr>
      <w:tr w:rsidR="00050F48" w:rsidRPr="002C77BC" w:rsidTr="00535E57">
        <w:trPr>
          <w:jc w:val="center"/>
        </w:trPr>
        <w:tc>
          <w:tcPr>
            <w:tcW w:w="1872" w:type="dxa"/>
            <w:tcBorders>
              <w:top w:val="nil"/>
              <w:left w:val="nil"/>
              <w:bottom w:val="nil"/>
              <w:right w:val="nil"/>
            </w:tcBorders>
          </w:tcPr>
          <w:p w:rsidR="00050F48" w:rsidRPr="002C77BC" w:rsidRDefault="00050F48" w:rsidP="00115919">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COUNTRY</w:t>
            </w:r>
            <w:r w:rsidRPr="002C77BC">
              <w:rPr>
                <w:rFonts w:ascii="Times New Roman" w:hAnsi="Times New Roman" w:cs="Times New Roman"/>
                <w:sz w:val="16"/>
                <w:szCs w:val="16"/>
              </w:rPr>
              <w:t>×</w:t>
            </w:r>
            <w:r>
              <w:rPr>
                <w:rFonts w:ascii="Times New Roman" w:hAnsi="Times New Roman" w:cs="Times New Roman"/>
                <w:sz w:val="16"/>
                <w:szCs w:val="16"/>
              </w:rPr>
              <w:t>Q</w:t>
            </w:r>
            <w:r w:rsidRPr="002C77BC">
              <w:rPr>
                <w:rFonts w:ascii="Times New Roman" w:hAnsi="Times New Roman" w:cs="Times New Roman"/>
                <w:sz w:val="16"/>
                <w:szCs w:val="16"/>
              </w:rPr>
              <w:t>4</w:t>
            </w:r>
            <w:r>
              <w:rPr>
                <w:rFonts w:ascii="Times New Roman" w:hAnsi="Times New Roman" w:cs="Times New Roman"/>
                <w:sz w:val="16"/>
                <w:szCs w:val="16"/>
              </w:rPr>
              <w:t xml:space="preserve"> Dummy</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-0.0717**</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-0.674***</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-0.0396*</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-0.0130***</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0.0109</w:t>
            </w:r>
            <w:r>
              <w:rPr>
                <w:rFonts w:ascii="Times New Roman" w:hAnsi="Times New Roman" w:cs="Times New Roman"/>
                <w:sz w:val="16"/>
                <w:szCs w:val="16"/>
              </w:rPr>
              <w:t>*</w:t>
            </w:r>
            <w:r w:rsidRPr="00452779">
              <w:rPr>
                <w:rFonts w:ascii="Times New Roman" w:hAnsi="Times New Roman" w:cs="Times New Roman"/>
                <w:sz w:val="16"/>
                <w:szCs w:val="16"/>
              </w:rPr>
              <w:t>*</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-0.188*</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-0.172***</w:t>
            </w:r>
          </w:p>
        </w:tc>
        <w:tc>
          <w:tcPr>
            <w:tcW w:w="1008" w:type="dxa"/>
            <w:tcBorders>
              <w:top w:val="nil"/>
              <w:left w:val="nil"/>
              <w:bottom w:val="nil"/>
              <w:right w:val="nil"/>
            </w:tcBorders>
          </w:tcPr>
          <w:p w:rsidR="00050F48" w:rsidRPr="00452779" w:rsidRDefault="00050F48" w:rsidP="003A641B">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-0.0006*</w:t>
            </w:r>
          </w:p>
        </w:tc>
        <w:tc>
          <w:tcPr>
            <w:tcW w:w="1008" w:type="dxa"/>
            <w:tcBorders>
              <w:top w:val="nil"/>
              <w:left w:val="nil"/>
              <w:bottom w:val="nil"/>
              <w:right w:val="nil"/>
            </w:tcBorders>
          </w:tcPr>
          <w:p w:rsidR="00050F48" w:rsidRPr="00452779" w:rsidRDefault="00050F48" w:rsidP="003A641B">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-0.0037***</w:t>
            </w:r>
          </w:p>
        </w:tc>
        <w:tc>
          <w:tcPr>
            <w:tcW w:w="1008" w:type="dxa"/>
            <w:tcBorders>
              <w:top w:val="nil"/>
              <w:left w:val="nil"/>
              <w:bottom w:val="nil"/>
              <w:right w:val="nil"/>
            </w:tcBorders>
          </w:tcPr>
          <w:p w:rsidR="00050F48" w:rsidRPr="00452779" w:rsidRDefault="00050F48" w:rsidP="003A641B">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-0.000</w:t>
            </w:r>
            <w:r>
              <w:rPr>
                <w:rFonts w:ascii="Times New Roman" w:hAnsi="Times New Roman" w:cs="Times New Roman"/>
                <w:sz w:val="16"/>
                <w:szCs w:val="16"/>
              </w:rPr>
              <w:t>7</w:t>
            </w:r>
            <w:r w:rsidRPr="00452779">
              <w:rPr>
                <w:rFonts w:ascii="Times New Roman" w:hAnsi="Times New Roman" w:cs="Times New Roman"/>
                <w:sz w:val="16"/>
                <w:szCs w:val="16"/>
              </w:rPr>
              <w:t>*</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-0.0369**</w:t>
            </w:r>
          </w:p>
        </w:tc>
      </w:tr>
      <w:tr w:rsidR="00050F48" w:rsidRPr="002C77BC" w:rsidTr="00535E57">
        <w:trPr>
          <w:jc w:val="center"/>
        </w:trPr>
        <w:tc>
          <w:tcPr>
            <w:tcW w:w="1872" w:type="dxa"/>
            <w:tcBorders>
              <w:top w:val="nil"/>
              <w:left w:val="nil"/>
              <w:bottom w:val="nil"/>
              <w:right w:val="nil"/>
            </w:tcBorders>
          </w:tcPr>
          <w:p w:rsidR="00050F48" w:rsidRPr="002C77BC" w:rsidRDefault="00050F48" w:rsidP="002C77BC">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(0.0320)</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(0.159)</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(0.0207)</w:t>
            </w:r>
          </w:p>
        </w:tc>
        <w:tc>
          <w:tcPr>
            <w:tcW w:w="1008" w:type="dxa"/>
            <w:tcBorders>
              <w:top w:val="nil"/>
              <w:left w:val="nil"/>
              <w:bottom w:val="nil"/>
              <w:right w:val="nil"/>
            </w:tcBorders>
          </w:tcPr>
          <w:p w:rsidR="00050F48" w:rsidRPr="00452779" w:rsidRDefault="00050F48" w:rsidP="003A641B">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(0.0028)</w:t>
            </w:r>
          </w:p>
        </w:tc>
        <w:tc>
          <w:tcPr>
            <w:tcW w:w="1008" w:type="dxa"/>
            <w:tcBorders>
              <w:top w:val="nil"/>
              <w:left w:val="nil"/>
              <w:bottom w:val="nil"/>
              <w:right w:val="nil"/>
            </w:tcBorders>
          </w:tcPr>
          <w:p w:rsidR="00050F48" w:rsidRPr="00452779" w:rsidRDefault="00050F48" w:rsidP="005F2845">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w:t>
            </w:r>
            <w:r>
              <w:rPr>
                <w:rFonts w:ascii="Times New Roman" w:hAnsi="Times New Roman" w:cs="Times New Roman"/>
                <w:sz w:val="16"/>
                <w:szCs w:val="16"/>
              </w:rPr>
              <w:t>51</w:t>
            </w:r>
            <w:r w:rsidRPr="00452779">
              <w:rPr>
                <w:rFonts w:ascii="Times New Roman" w:hAnsi="Times New Roman" w:cs="Times New Roman"/>
                <w:sz w:val="16"/>
                <w:szCs w:val="16"/>
              </w:rPr>
              <w:t>)</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(0.101)</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(0.0403)</w:t>
            </w:r>
          </w:p>
        </w:tc>
        <w:tc>
          <w:tcPr>
            <w:tcW w:w="1008" w:type="dxa"/>
            <w:tcBorders>
              <w:top w:val="nil"/>
              <w:left w:val="nil"/>
              <w:bottom w:val="nil"/>
              <w:right w:val="nil"/>
            </w:tcBorders>
          </w:tcPr>
          <w:p w:rsidR="00050F48" w:rsidRPr="00452779" w:rsidRDefault="00050F48" w:rsidP="003A641B">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(0.000</w:t>
            </w:r>
            <w:r>
              <w:rPr>
                <w:rFonts w:ascii="Times New Roman" w:hAnsi="Times New Roman" w:cs="Times New Roman"/>
                <w:sz w:val="16"/>
                <w:szCs w:val="16"/>
              </w:rPr>
              <w:t>3</w:t>
            </w:r>
            <w:r w:rsidRPr="00452779">
              <w:rPr>
                <w:rFonts w:ascii="Times New Roman" w:hAnsi="Times New Roman" w:cs="Times New Roman"/>
                <w:sz w:val="16"/>
                <w:szCs w:val="16"/>
              </w:rPr>
              <w:t>)</w:t>
            </w:r>
          </w:p>
        </w:tc>
        <w:tc>
          <w:tcPr>
            <w:tcW w:w="1008" w:type="dxa"/>
            <w:tcBorders>
              <w:top w:val="nil"/>
              <w:left w:val="nil"/>
              <w:bottom w:val="nil"/>
              <w:right w:val="nil"/>
            </w:tcBorders>
          </w:tcPr>
          <w:p w:rsidR="00050F48" w:rsidRPr="00452779" w:rsidRDefault="00050F48" w:rsidP="003A641B">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(0.0007)</w:t>
            </w:r>
          </w:p>
        </w:tc>
        <w:tc>
          <w:tcPr>
            <w:tcW w:w="1008" w:type="dxa"/>
            <w:tcBorders>
              <w:top w:val="nil"/>
              <w:left w:val="nil"/>
              <w:bottom w:val="nil"/>
              <w:right w:val="nil"/>
            </w:tcBorders>
          </w:tcPr>
          <w:p w:rsidR="00050F48" w:rsidRPr="00452779" w:rsidRDefault="00050F48" w:rsidP="003A641B">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(0.0003)</w:t>
            </w:r>
          </w:p>
        </w:tc>
        <w:tc>
          <w:tcPr>
            <w:tcW w:w="1008" w:type="dxa"/>
            <w:tcBorders>
              <w:top w:val="nil"/>
              <w:left w:val="nil"/>
              <w:bottom w:val="nil"/>
              <w:right w:val="nil"/>
            </w:tcBorders>
          </w:tcPr>
          <w:p w:rsidR="00050F48" w:rsidRPr="00452779" w:rsidRDefault="00050F48" w:rsidP="005A07A2">
            <w:pPr>
              <w:widowControl w:val="0"/>
              <w:autoSpaceDE w:val="0"/>
              <w:autoSpaceDN w:val="0"/>
              <w:adjustRightInd w:val="0"/>
              <w:spacing w:after="0" w:line="240" w:lineRule="auto"/>
              <w:jc w:val="center"/>
              <w:rPr>
                <w:rFonts w:ascii="Times New Roman" w:hAnsi="Times New Roman" w:cs="Times New Roman"/>
                <w:sz w:val="16"/>
                <w:szCs w:val="16"/>
              </w:rPr>
            </w:pPr>
            <w:r w:rsidRPr="00452779">
              <w:rPr>
                <w:rFonts w:ascii="Times New Roman" w:hAnsi="Times New Roman" w:cs="Times New Roman"/>
                <w:sz w:val="16"/>
                <w:szCs w:val="16"/>
              </w:rPr>
              <w:t>(0.0150)</w:t>
            </w:r>
          </w:p>
        </w:tc>
      </w:tr>
      <w:tr w:rsidR="00050F48" w:rsidRPr="002C77BC" w:rsidTr="00535E57">
        <w:trPr>
          <w:jc w:val="center"/>
        </w:trPr>
        <w:tc>
          <w:tcPr>
            <w:tcW w:w="1872" w:type="dxa"/>
            <w:tcBorders>
              <w:top w:val="nil"/>
              <w:left w:val="nil"/>
              <w:bottom w:val="nil"/>
              <w:right w:val="nil"/>
            </w:tcBorders>
          </w:tcPr>
          <w:p w:rsidR="00050F48" w:rsidRPr="002C77BC" w:rsidRDefault="00050F48" w:rsidP="00FB55ED">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050F48" w:rsidRPr="002C77BC" w:rsidRDefault="00050F48" w:rsidP="00FB55ED">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050F48" w:rsidRPr="002C77BC" w:rsidRDefault="00050F48" w:rsidP="00FB55ED">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050F48" w:rsidRPr="002C77BC" w:rsidRDefault="00050F48" w:rsidP="00FB55ED">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050F48" w:rsidRPr="002C77BC" w:rsidRDefault="00050F48" w:rsidP="00FB55ED">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050F48" w:rsidRPr="002C77BC" w:rsidRDefault="00050F48" w:rsidP="00FB55ED">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050F48" w:rsidRPr="002C77BC" w:rsidRDefault="00050F48" w:rsidP="0035532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050F48" w:rsidRPr="002C77BC" w:rsidRDefault="00050F48" w:rsidP="0035532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050F48" w:rsidRPr="002C77BC" w:rsidRDefault="00050F48" w:rsidP="0035532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050F48" w:rsidRPr="002C77BC" w:rsidRDefault="00050F48" w:rsidP="00FB55ED">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050F48" w:rsidRPr="002C77BC" w:rsidRDefault="00050F48" w:rsidP="00FB55ED">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050F48" w:rsidRPr="002C77BC" w:rsidRDefault="00050F48" w:rsidP="00FB55ED">
            <w:pPr>
              <w:widowControl w:val="0"/>
              <w:autoSpaceDE w:val="0"/>
              <w:autoSpaceDN w:val="0"/>
              <w:adjustRightInd w:val="0"/>
              <w:spacing w:after="0" w:line="240" w:lineRule="auto"/>
              <w:jc w:val="center"/>
              <w:rPr>
                <w:rFonts w:ascii="Times New Roman" w:hAnsi="Times New Roman" w:cs="Times New Roman"/>
                <w:sz w:val="16"/>
                <w:szCs w:val="16"/>
              </w:rPr>
            </w:pPr>
          </w:p>
        </w:tc>
      </w:tr>
      <w:tr w:rsidR="00050F48" w:rsidRPr="002C77BC" w:rsidTr="00535E57">
        <w:trPr>
          <w:jc w:val="center"/>
        </w:trPr>
        <w:tc>
          <w:tcPr>
            <w:tcW w:w="1872" w:type="dxa"/>
            <w:tcBorders>
              <w:top w:val="nil"/>
              <w:left w:val="nil"/>
              <w:bottom w:val="nil"/>
              <w:right w:val="nil"/>
            </w:tcBorders>
          </w:tcPr>
          <w:p w:rsidR="00050F48" w:rsidRPr="002C77BC" w:rsidRDefault="00050F48" w:rsidP="00FB55ED">
            <w:pPr>
              <w:widowControl w:val="0"/>
              <w:autoSpaceDE w:val="0"/>
              <w:autoSpaceDN w:val="0"/>
              <w:adjustRightInd w:val="0"/>
              <w:spacing w:after="0" w:line="240" w:lineRule="auto"/>
              <w:rPr>
                <w:rFonts w:ascii="Times New Roman" w:hAnsi="Times New Roman" w:cs="Times New Roman"/>
                <w:sz w:val="16"/>
                <w:szCs w:val="16"/>
              </w:rPr>
            </w:pPr>
            <w:r w:rsidRPr="002C77BC">
              <w:rPr>
                <w:rFonts w:ascii="Times New Roman" w:hAnsi="Times New Roman" w:cs="Times New Roman"/>
                <w:sz w:val="16"/>
                <w:szCs w:val="16"/>
              </w:rPr>
              <w:t>Observations</w:t>
            </w:r>
          </w:p>
        </w:tc>
        <w:tc>
          <w:tcPr>
            <w:tcW w:w="1008" w:type="dxa"/>
            <w:tcBorders>
              <w:top w:val="nil"/>
              <w:left w:val="nil"/>
              <w:bottom w:val="nil"/>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686</w:t>
            </w:r>
          </w:p>
        </w:tc>
        <w:tc>
          <w:tcPr>
            <w:tcW w:w="1008" w:type="dxa"/>
            <w:tcBorders>
              <w:top w:val="nil"/>
              <w:left w:val="nil"/>
              <w:bottom w:val="nil"/>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723</w:t>
            </w:r>
          </w:p>
        </w:tc>
        <w:tc>
          <w:tcPr>
            <w:tcW w:w="1008" w:type="dxa"/>
            <w:tcBorders>
              <w:top w:val="nil"/>
              <w:left w:val="nil"/>
              <w:bottom w:val="nil"/>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729</w:t>
            </w:r>
          </w:p>
        </w:tc>
        <w:tc>
          <w:tcPr>
            <w:tcW w:w="1008" w:type="dxa"/>
            <w:tcBorders>
              <w:top w:val="nil"/>
              <w:left w:val="nil"/>
              <w:bottom w:val="nil"/>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606</w:t>
            </w:r>
          </w:p>
        </w:tc>
        <w:tc>
          <w:tcPr>
            <w:tcW w:w="1008" w:type="dxa"/>
            <w:tcBorders>
              <w:top w:val="nil"/>
              <w:left w:val="nil"/>
              <w:bottom w:val="nil"/>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506</w:t>
            </w:r>
          </w:p>
        </w:tc>
        <w:tc>
          <w:tcPr>
            <w:tcW w:w="1008" w:type="dxa"/>
            <w:tcBorders>
              <w:top w:val="nil"/>
              <w:left w:val="nil"/>
              <w:bottom w:val="nil"/>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775</w:t>
            </w:r>
          </w:p>
        </w:tc>
        <w:tc>
          <w:tcPr>
            <w:tcW w:w="1008" w:type="dxa"/>
            <w:tcBorders>
              <w:top w:val="nil"/>
              <w:left w:val="nil"/>
              <w:bottom w:val="nil"/>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775</w:t>
            </w:r>
          </w:p>
        </w:tc>
        <w:tc>
          <w:tcPr>
            <w:tcW w:w="1008" w:type="dxa"/>
            <w:tcBorders>
              <w:top w:val="nil"/>
              <w:left w:val="nil"/>
              <w:bottom w:val="nil"/>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665</w:t>
            </w:r>
          </w:p>
        </w:tc>
        <w:tc>
          <w:tcPr>
            <w:tcW w:w="1008" w:type="dxa"/>
            <w:tcBorders>
              <w:top w:val="nil"/>
              <w:left w:val="nil"/>
              <w:bottom w:val="nil"/>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741</w:t>
            </w:r>
          </w:p>
        </w:tc>
        <w:tc>
          <w:tcPr>
            <w:tcW w:w="1008" w:type="dxa"/>
            <w:tcBorders>
              <w:top w:val="nil"/>
              <w:left w:val="nil"/>
              <w:bottom w:val="nil"/>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630</w:t>
            </w:r>
          </w:p>
        </w:tc>
        <w:tc>
          <w:tcPr>
            <w:tcW w:w="1008" w:type="dxa"/>
            <w:tcBorders>
              <w:top w:val="nil"/>
              <w:left w:val="nil"/>
              <w:bottom w:val="nil"/>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686</w:t>
            </w:r>
          </w:p>
        </w:tc>
      </w:tr>
      <w:tr w:rsidR="00050F48" w:rsidRPr="002C77BC" w:rsidTr="00F27DF1">
        <w:tblPrEx>
          <w:tblBorders>
            <w:bottom w:val="single" w:sz="6" w:space="0" w:color="auto"/>
          </w:tblBorders>
        </w:tblPrEx>
        <w:trPr>
          <w:jc w:val="center"/>
        </w:trPr>
        <w:tc>
          <w:tcPr>
            <w:tcW w:w="1872" w:type="dxa"/>
            <w:tcBorders>
              <w:top w:val="nil"/>
              <w:left w:val="nil"/>
              <w:bottom w:val="double" w:sz="4" w:space="0" w:color="auto"/>
              <w:right w:val="nil"/>
            </w:tcBorders>
          </w:tcPr>
          <w:p w:rsidR="00050F48" w:rsidRPr="002C77BC" w:rsidRDefault="00050F48" w:rsidP="00FB55ED">
            <w:pPr>
              <w:widowControl w:val="0"/>
              <w:autoSpaceDE w:val="0"/>
              <w:autoSpaceDN w:val="0"/>
              <w:adjustRightInd w:val="0"/>
              <w:spacing w:after="0" w:line="240" w:lineRule="auto"/>
              <w:rPr>
                <w:rFonts w:ascii="Times New Roman" w:hAnsi="Times New Roman" w:cs="Times New Roman"/>
                <w:sz w:val="16"/>
                <w:szCs w:val="16"/>
              </w:rPr>
            </w:pPr>
            <w:r w:rsidRPr="002C77BC">
              <w:rPr>
                <w:rFonts w:ascii="Times New Roman" w:hAnsi="Times New Roman" w:cs="Times New Roman"/>
                <w:sz w:val="16"/>
                <w:szCs w:val="16"/>
              </w:rPr>
              <w:t>R-squared</w:t>
            </w:r>
          </w:p>
        </w:tc>
        <w:tc>
          <w:tcPr>
            <w:tcW w:w="1008" w:type="dxa"/>
            <w:tcBorders>
              <w:top w:val="nil"/>
              <w:left w:val="nil"/>
              <w:bottom w:val="double" w:sz="4" w:space="0" w:color="auto"/>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0.691</w:t>
            </w:r>
          </w:p>
        </w:tc>
        <w:tc>
          <w:tcPr>
            <w:tcW w:w="1008" w:type="dxa"/>
            <w:tcBorders>
              <w:top w:val="nil"/>
              <w:left w:val="nil"/>
              <w:bottom w:val="double" w:sz="4" w:space="0" w:color="auto"/>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0.700</w:t>
            </w:r>
          </w:p>
        </w:tc>
        <w:tc>
          <w:tcPr>
            <w:tcW w:w="1008" w:type="dxa"/>
            <w:tcBorders>
              <w:top w:val="nil"/>
              <w:left w:val="nil"/>
              <w:bottom w:val="double" w:sz="4" w:space="0" w:color="auto"/>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0.714</w:t>
            </w:r>
          </w:p>
        </w:tc>
        <w:tc>
          <w:tcPr>
            <w:tcW w:w="1008" w:type="dxa"/>
            <w:tcBorders>
              <w:top w:val="nil"/>
              <w:left w:val="nil"/>
              <w:bottom w:val="double" w:sz="4" w:space="0" w:color="auto"/>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0.697</w:t>
            </w:r>
          </w:p>
        </w:tc>
        <w:tc>
          <w:tcPr>
            <w:tcW w:w="1008" w:type="dxa"/>
            <w:tcBorders>
              <w:top w:val="nil"/>
              <w:left w:val="nil"/>
              <w:bottom w:val="double" w:sz="4" w:space="0" w:color="auto"/>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0.745</w:t>
            </w:r>
          </w:p>
        </w:tc>
        <w:tc>
          <w:tcPr>
            <w:tcW w:w="1008" w:type="dxa"/>
            <w:tcBorders>
              <w:top w:val="nil"/>
              <w:left w:val="nil"/>
              <w:bottom w:val="double" w:sz="4" w:space="0" w:color="auto"/>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0.661</w:t>
            </w:r>
          </w:p>
        </w:tc>
        <w:tc>
          <w:tcPr>
            <w:tcW w:w="1008" w:type="dxa"/>
            <w:tcBorders>
              <w:top w:val="nil"/>
              <w:left w:val="nil"/>
              <w:bottom w:val="double" w:sz="4" w:space="0" w:color="auto"/>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0.673</w:t>
            </w:r>
          </w:p>
        </w:tc>
        <w:tc>
          <w:tcPr>
            <w:tcW w:w="1008" w:type="dxa"/>
            <w:tcBorders>
              <w:top w:val="nil"/>
              <w:left w:val="nil"/>
              <w:bottom w:val="double" w:sz="4" w:space="0" w:color="auto"/>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0.664</w:t>
            </w:r>
          </w:p>
        </w:tc>
        <w:tc>
          <w:tcPr>
            <w:tcW w:w="1008" w:type="dxa"/>
            <w:tcBorders>
              <w:top w:val="nil"/>
              <w:left w:val="nil"/>
              <w:bottom w:val="double" w:sz="4" w:space="0" w:color="auto"/>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0.673</w:t>
            </w:r>
          </w:p>
        </w:tc>
        <w:tc>
          <w:tcPr>
            <w:tcW w:w="1008" w:type="dxa"/>
            <w:tcBorders>
              <w:top w:val="nil"/>
              <w:left w:val="nil"/>
              <w:bottom w:val="double" w:sz="4" w:space="0" w:color="auto"/>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0.664</w:t>
            </w:r>
          </w:p>
        </w:tc>
        <w:tc>
          <w:tcPr>
            <w:tcW w:w="1008" w:type="dxa"/>
            <w:tcBorders>
              <w:top w:val="nil"/>
              <w:left w:val="nil"/>
              <w:bottom w:val="double" w:sz="4" w:space="0" w:color="auto"/>
              <w:right w:val="nil"/>
            </w:tcBorders>
          </w:tcPr>
          <w:p w:rsidR="00050F48" w:rsidRPr="004628B5" w:rsidRDefault="00050F48" w:rsidP="005A07A2">
            <w:pPr>
              <w:widowControl w:val="0"/>
              <w:autoSpaceDE w:val="0"/>
              <w:autoSpaceDN w:val="0"/>
              <w:adjustRightInd w:val="0"/>
              <w:spacing w:after="0" w:line="240" w:lineRule="auto"/>
              <w:jc w:val="center"/>
              <w:rPr>
                <w:rFonts w:ascii="Times New Roman" w:hAnsi="Times New Roman" w:cs="Times New Roman"/>
                <w:sz w:val="16"/>
                <w:szCs w:val="24"/>
              </w:rPr>
            </w:pPr>
            <w:r w:rsidRPr="004628B5">
              <w:rPr>
                <w:rFonts w:ascii="Times New Roman" w:hAnsi="Times New Roman" w:cs="Times New Roman"/>
                <w:sz w:val="16"/>
                <w:szCs w:val="24"/>
              </w:rPr>
              <w:t>0.692</w:t>
            </w:r>
          </w:p>
        </w:tc>
      </w:tr>
    </w:tbl>
    <w:p w:rsidR="00821BD4" w:rsidRPr="00EE1141" w:rsidRDefault="00821BD4" w:rsidP="00821BD4">
      <w:pPr>
        <w:rPr>
          <w:rFonts w:ascii="Times New Roman" w:hAnsi="Times New Roman" w:cs="Times New Roman"/>
        </w:rPr>
      </w:pPr>
      <w:r w:rsidRPr="00EE1141">
        <w:rPr>
          <w:rFonts w:ascii="Times New Roman" w:hAnsi="Times New Roman" w:cs="Times New Roman"/>
        </w:rPr>
        <w:br w:type="page"/>
      </w:r>
    </w:p>
    <w:p w:rsidR="005A5576" w:rsidRPr="00EE1141" w:rsidRDefault="005A58AF" w:rsidP="00355322">
      <w:pPr>
        <w:spacing w:after="120" w:line="240" w:lineRule="auto"/>
        <w:rPr>
          <w:rFonts w:ascii="Times New Roman" w:hAnsi="Times New Roman" w:cs="Times New Roman"/>
          <w:b/>
          <w:sz w:val="20"/>
          <w:szCs w:val="16"/>
        </w:rPr>
      </w:pPr>
      <w:r w:rsidRPr="00EE1141">
        <w:rPr>
          <w:rFonts w:ascii="Times New Roman" w:hAnsi="Times New Roman" w:cs="Times New Roman"/>
          <w:b/>
          <w:sz w:val="20"/>
          <w:szCs w:val="16"/>
        </w:rPr>
        <w:lastRenderedPageBreak/>
        <w:t xml:space="preserve">Table </w:t>
      </w:r>
      <w:r w:rsidR="00822022">
        <w:rPr>
          <w:rFonts w:ascii="Times New Roman" w:hAnsi="Times New Roman" w:cs="Times New Roman"/>
          <w:b/>
          <w:sz w:val="20"/>
          <w:szCs w:val="16"/>
        </w:rPr>
        <w:t>7</w:t>
      </w:r>
      <w:r w:rsidRPr="00EE1141">
        <w:rPr>
          <w:rFonts w:ascii="Times New Roman" w:hAnsi="Times New Roman" w:cs="Times New Roman"/>
          <w:b/>
          <w:sz w:val="20"/>
          <w:szCs w:val="16"/>
        </w:rPr>
        <w:t xml:space="preserve"> </w:t>
      </w:r>
      <w:r w:rsidR="002D0C41">
        <w:rPr>
          <w:rFonts w:ascii="Times New Roman" w:hAnsi="Times New Roman" w:cs="Times New Roman"/>
          <w:b/>
          <w:sz w:val="20"/>
          <w:szCs w:val="16"/>
        </w:rPr>
        <w:t xml:space="preserve">– </w:t>
      </w:r>
      <w:r w:rsidR="005A5576">
        <w:rPr>
          <w:rFonts w:ascii="Times New Roman" w:hAnsi="Times New Roman" w:cs="Times New Roman"/>
          <w:b/>
          <w:sz w:val="20"/>
          <w:szCs w:val="16"/>
        </w:rPr>
        <w:t>Regressions Using Industry-adjusted Variables</w:t>
      </w:r>
    </w:p>
    <w:p w:rsidR="00535E57" w:rsidRDefault="00E01517" w:rsidP="00E01517">
      <w:pPr>
        <w:spacing w:after="0" w:line="240" w:lineRule="auto"/>
        <w:ind w:firstLine="288"/>
        <w:jc w:val="both"/>
        <w:rPr>
          <w:rFonts w:ascii="Times New Roman" w:hAnsi="Times New Roman" w:cs="Times New Roman"/>
          <w:sz w:val="16"/>
          <w:szCs w:val="16"/>
        </w:rPr>
      </w:pPr>
      <w:r w:rsidRPr="00EE1141">
        <w:rPr>
          <w:rFonts w:ascii="Times New Roman" w:hAnsi="Times New Roman" w:cs="Times New Roman"/>
          <w:sz w:val="16"/>
          <w:szCs w:val="16"/>
        </w:rPr>
        <w:t xml:space="preserve">This table reports the results of regressions of </w:t>
      </w:r>
      <w:r>
        <w:rPr>
          <w:rFonts w:ascii="Times New Roman" w:hAnsi="Times New Roman" w:cs="Times New Roman"/>
          <w:sz w:val="16"/>
          <w:szCs w:val="16"/>
        </w:rPr>
        <w:t xml:space="preserve">industry-adjusted </w:t>
      </w:r>
      <w:r w:rsidRPr="00EE1141">
        <w:rPr>
          <w:rFonts w:ascii="Times New Roman" w:hAnsi="Times New Roman" w:cs="Times New Roman"/>
          <w:sz w:val="16"/>
          <w:szCs w:val="16"/>
        </w:rPr>
        <w:t>capital expenditure on the interaction of country-level variables and 4</w:t>
      </w:r>
      <w:r w:rsidRPr="00EE1141">
        <w:rPr>
          <w:rFonts w:ascii="Times New Roman" w:hAnsi="Times New Roman" w:cs="Times New Roman"/>
          <w:sz w:val="16"/>
          <w:szCs w:val="16"/>
          <w:vertAlign w:val="superscript"/>
        </w:rPr>
        <w:t>th</w:t>
      </w:r>
      <w:r w:rsidRPr="00EE1141">
        <w:rPr>
          <w:rFonts w:ascii="Times New Roman" w:hAnsi="Times New Roman" w:cs="Times New Roman"/>
          <w:sz w:val="16"/>
          <w:szCs w:val="16"/>
        </w:rPr>
        <w:t xml:space="preserve"> fiscal quarter dummy</w:t>
      </w:r>
      <w:r>
        <w:rPr>
          <w:rFonts w:ascii="Times New Roman" w:hAnsi="Times New Roman" w:cs="Times New Roman"/>
          <w:sz w:val="16"/>
          <w:szCs w:val="16"/>
        </w:rPr>
        <w:t>,</w:t>
      </w:r>
      <w:r w:rsidRPr="00EE1141">
        <w:rPr>
          <w:rFonts w:ascii="Times New Roman" w:hAnsi="Times New Roman" w:cs="Times New Roman"/>
          <w:sz w:val="16"/>
          <w:szCs w:val="16"/>
        </w:rPr>
        <w:t xml:space="preserve"> </w:t>
      </w:r>
      <w:r>
        <w:rPr>
          <w:rFonts w:ascii="Times New Roman" w:hAnsi="Times New Roman" w:cs="Times New Roman"/>
          <w:sz w:val="16"/>
          <w:szCs w:val="16"/>
        </w:rPr>
        <w:t xml:space="preserve">controlling for a comprehensive set of industry-adjusted </w:t>
      </w:r>
      <w:r w:rsidRPr="00EE1141">
        <w:rPr>
          <w:rFonts w:ascii="Times New Roman" w:hAnsi="Times New Roman" w:cs="Times New Roman"/>
          <w:sz w:val="16"/>
          <w:szCs w:val="16"/>
        </w:rPr>
        <w:t>firm-level variable</w:t>
      </w:r>
      <w:r>
        <w:rPr>
          <w:rFonts w:ascii="Times New Roman" w:hAnsi="Times New Roman" w:cs="Times New Roman"/>
          <w:sz w:val="16"/>
          <w:szCs w:val="16"/>
        </w:rPr>
        <w:t xml:space="preserve">s. </w:t>
      </w:r>
      <w:r w:rsidR="00535E57">
        <w:rPr>
          <w:rFonts w:ascii="Times New Roman" w:hAnsi="Times New Roman" w:cs="Times New Roman"/>
          <w:sz w:val="16"/>
          <w:szCs w:val="16"/>
        </w:rPr>
        <w:t xml:space="preserve">Panel A is on the full sample and Panel B on the non-US subsample. </w:t>
      </w:r>
    </w:p>
    <w:p w:rsidR="00E01517" w:rsidRDefault="00E01517" w:rsidP="00E01517">
      <w:pPr>
        <w:spacing w:after="0" w:line="240" w:lineRule="auto"/>
        <w:ind w:firstLine="288"/>
        <w:jc w:val="both"/>
        <w:rPr>
          <w:rFonts w:ascii="Times New Roman" w:hAnsi="Times New Roman" w:cs="Times New Roman"/>
          <w:sz w:val="16"/>
        </w:rPr>
      </w:pPr>
      <w:r w:rsidRPr="00EE1141">
        <w:rPr>
          <w:rFonts w:ascii="Times New Roman" w:hAnsi="Times New Roman" w:cs="Times New Roman"/>
          <w:sz w:val="16"/>
          <w:szCs w:val="16"/>
        </w:rPr>
        <w:t xml:space="preserve">We </w:t>
      </w:r>
      <w:r>
        <w:rPr>
          <w:rFonts w:ascii="Times New Roman" w:hAnsi="Times New Roman" w:cs="Times New Roman"/>
          <w:sz w:val="16"/>
          <w:szCs w:val="16"/>
        </w:rPr>
        <w:t xml:space="preserve">adjust industry for each variable by subtracting global industry median from each variable. We control </w:t>
      </w:r>
      <w:r w:rsidRPr="00EE1141">
        <w:rPr>
          <w:rFonts w:ascii="Times New Roman" w:hAnsi="Times New Roman" w:cs="Times New Roman"/>
          <w:sz w:val="16"/>
          <w:szCs w:val="16"/>
        </w:rPr>
        <w:t>for firm</w:t>
      </w:r>
      <w:r>
        <w:rPr>
          <w:rFonts w:ascii="Times New Roman" w:hAnsi="Times New Roman" w:cs="Times New Roman"/>
          <w:sz w:val="16"/>
          <w:szCs w:val="16"/>
        </w:rPr>
        <w:t xml:space="preserve"> characteristics such as quarterly cash flow, Tobin’s q, change in cash holding from the previous quarter, leverage, and sales growth.</w:t>
      </w:r>
      <w:r w:rsidRPr="00EE1141">
        <w:rPr>
          <w:rFonts w:ascii="Times New Roman" w:hAnsi="Times New Roman" w:cs="Times New Roman"/>
          <w:sz w:val="16"/>
          <w:szCs w:val="16"/>
        </w:rPr>
        <w:t xml:space="preserve"> </w:t>
      </w:r>
      <w:r>
        <w:rPr>
          <w:rFonts w:ascii="Times New Roman" w:hAnsi="Times New Roman" w:cs="Times New Roman"/>
          <w:sz w:val="16"/>
          <w:szCs w:val="16"/>
        </w:rPr>
        <w:t xml:space="preserve">We also control for firm </w:t>
      </w:r>
      <w:r w:rsidRPr="00EE1141">
        <w:rPr>
          <w:rFonts w:ascii="Times New Roman" w:hAnsi="Times New Roman" w:cs="Times New Roman"/>
          <w:sz w:val="16"/>
          <w:szCs w:val="16"/>
        </w:rPr>
        <w:t>fixed effects and country-level GDP per capita and GDP growth</w:t>
      </w:r>
      <w:r w:rsidR="00050F48">
        <w:rPr>
          <w:rFonts w:ascii="Times New Roman" w:hAnsi="Times New Roman" w:cs="Times New Roman"/>
          <w:sz w:val="16"/>
          <w:szCs w:val="16"/>
        </w:rPr>
        <w:t>, and</w:t>
      </w:r>
      <w:r w:rsidRPr="00EE1141">
        <w:rPr>
          <w:rFonts w:ascii="Times New Roman" w:hAnsi="Times New Roman" w:cs="Times New Roman"/>
          <w:sz w:val="16"/>
          <w:szCs w:val="16"/>
        </w:rPr>
        <w:t xml:space="preserve"> add Fama-French-48 industry × calendar quarter interaction fixed effects to control for time-varying investment opportunities. </w:t>
      </w:r>
      <w:r w:rsidRPr="00EE1141">
        <w:rPr>
          <w:rFonts w:ascii="Times New Roman" w:hAnsi="Times New Roman" w:cs="Times New Roman"/>
          <w:sz w:val="16"/>
        </w:rPr>
        <w:t xml:space="preserve">We categorize country-level variables into </w:t>
      </w:r>
      <w:r>
        <w:rPr>
          <w:rFonts w:ascii="Times New Roman" w:hAnsi="Times New Roman" w:cs="Times New Roman"/>
          <w:sz w:val="16"/>
        </w:rPr>
        <w:t>two categories: investor rights and protection and level of financial market development</w:t>
      </w:r>
      <w:r w:rsidRPr="00EE1141">
        <w:rPr>
          <w:rFonts w:ascii="Times New Roman" w:hAnsi="Times New Roman" w:cs="Times New Roman"/>
          <w:sz w:val="16"/>
        </w:rPr>
        <w:t>.</w:t>
      </w:r>
      <w:r w:rsidRPr="003F0CA6">
        <w:rPr>
          <w:rFonts w:ascii="Times New Roman" w:hAnsi="Times New Roman" w:cs="Times New Roman"/>
          <w:sz w:val="16"/>
          <w:szCs w:val="16"/>
        </w:rPr>
        <w:t xml:space="preserve"> </w:t>
      </w:r>
      <w:r w:rsidRPr="00EE1141">
        <w:rPr>
          <w:rFonts w:ascii="Times New Roman" w:hAnsi="Times New Roman" w:cs="Times New Roman"/>
          <w:sz w:val="16"/>
          <w:szCs w:val="16"/>
        </w:rPr>
        <w:t>Robust standard errors are reported in parentheses. *, **, and *** indicate significance at the 10%, 5%, and 1% level, respectively. Standard errors are clustered at the country level. Firm-level controls are winsorized at the 1% tails. Our sample includes 4</w:t>
      </w:r>
      <w:r>
        <w:rPr>
          <w:rFonts w:ascii="Times New Roman" w:hAnsi="Times New Roman" w:cs="Times New Roman"/>
          <w:sz w:val="16"/>
          <w:szCs w:val="16"/>
        </w:rPr>
        <w:t>1</w:t>
      </w:r>
      <w:r w:rsidRPr="00EE1141">
        <w:rPr>
          <w:rFonts w:ascii="Times New Roman" w:hAnsi="Times New Roman" w:cs="Times New Roman"/>
          <w:sz w:val="16"/>
          <w:szCs w:val="16"/>
        </w:rPr>
        <w:t xml:space="preserve"> countries and covers the period 2005-2014 in fiscal years. </w:t>
      </w:r>
      <w:r w:rsidRPr="00EE1141">
        <w:rPr>
          <w:rFonts w:ascii="Times New Roman" w:hAnsi="Times New Roman" w:cs="Times New Roman"/>
          <w:sz w:val="16"/>
        </w:rPr>
        <w:t>The details of these variables are provided in Appendix A.</w:t>
      </w:r>
    </w:p>
    <w:p w:rsidR="00E01517" w:rsidRPr="00EE1141" w:rsidRDefault="00E01517" w:rsidP="00E01517">
      <w:pPr>
        <w:spacing w:after="0" w:line="240" w:lineRule="auto"/>
        <w:ind w:firstLine="288"/>
        <w:jc w:val="both"/>
        <w:rPr>
          <w:rFonts w:ascii="Times New Roman" w:hAnsi="Times New Roman" w:cs="Times New Roman"/>
          <w:sz w:val="16"/>
        </w:rPr>
      </w:pPr>
    </w:p>
    <w:tbl>
      <w:tblPr>
        <w:tblW w:w="0" w:type="auto"/>
        <w:jc w:val="center"/>
        <w:tblLayout w:type="fixed"/>
        <w:tblCellMar>
          <w:left w:w="75" w:type="dxa"/>
          <w:right w:w="75" w:type="dxa"/>
        </w:tblCellMar>
        <w:tblLook w:val="0000" w:firstRow="0" w:lastRow="0" w:firstColumn="0" w:lastColumn="0" w:noHBand="0" w:noVBand="0"/>
      </w:tblPr>
      <w:tblGrid>
        <w:gridCol w:w="1440"/>
        <w:gridCol w:w="1008"/>
        <w:gridCol w:w="1008"/>
        <w:gridCol w:w="1008"/>
        <w:gridCol w:w="1008"/>
        <w:gridCol w:w="1008"/>
        <w:gridCol w:w="1008"/>
        <w:gridCol w:w="1008"/>
        <w:gridCol w:w="1008"/>
        <w:gridCol w:w="1008"/>
        <w:gridCol w:w="1008"/>
        <w:gridCol w:w="1008"/>
      </w:tblGrid>
      <w:tr w:rsidR="00535E57" w:rsidRPr="000277B2" w:rsidTr="000928AC">
        <w:trPr>
          <w:jc w:val="center"/>
        </w:trPr>
        <w:tc>
          <w:tcPr>
            <w:tcW w:w="12528" w:type="dxa"/>
            <w:gridSpan w:val="12"/>
            <w:tcBorders>
              <w:top w:val="double" w:sz="4" w:space="0" w:color="auto"/>
              <w:left w:val="nil"/>
              <w:bottom w:val="nil"/>
              <w:right w:val="nil"/>
            </w:tcBorders>
          </w:tcPr>
          <w:p w:rsidR="00535E57" w:rsidRPr="00535E57" w:rsidRDefault="005A5576" w:rsidP="00EF1206">
            <w:pPr>
              <w:widowControl w:val="0"/>
              <w:autoSpaceDE w:val="0"/>
              <w:autoSpaceDN w:val="0"/>
              <w:adjustRightInd w:val="0"/>
              <w:spacing w:after="0" w:line="240" w:lineRule="auto"/>
              <w:jc w:val="center"/>
              <w:rPr>
                <w:rFonts w:ascii="Times New Roman" w:hAnsi="Times New Roman" w:cs="Times New Roman"/>
                <w:sz w:val="18"/>
                <w:szCs w:val="16"/>
              </w:rPr>
            </w:pPr>
            <w:r>
              <w:rPr>
                <w:rFonts w:ascii="Times New Roman" w:hAnsi="Times New Roman" w:cs="Times New Roman"/>
                <w:sz w:val="18"/>
                <w:szCs w:val="16"/>
              </w:rPr>
              <w:t xml:space="preserve">Panel A: </w:t>
            </w:r>
            <w:r w:rsidR="005848B4">
              <w:rPr>
                <w:rFonts w:ascii="Times New Roman" w:hAnsi="Times New Roman" w:cs="Times New Roman"/>
                <w:sz w:val="18"/>
                <w:szCs w:val="16"/>
              </w:rPr>
              <w:t xml:space="preserve">Dependent Variable: </w:t>
            </w:r>
            <w:r w:rsidR="005848B4" w:rsidRPr="00535E57">
              <w:rPr>
                <w:rFonts w:ascii="Times New Roman" w:hAnsi="Times New Roman" w:cs="Times New Roman"/>
                <w:sz w:val="18"/>
                <w:szCs w:val="16"/>
              </w:rPr>
              <w:t xml:space="preserve">Industry-adjusted </w:t>
            </w:r>
            <w:r w:rsidR="005848B4">
              <w:rPr>
                <w:rFonts w:ascii="Times New Roman" w:hAnsi="Times New Roman" w:cs="Times New Roman"/>
                <w:sz w:val="18"/>
                <w:szCs w:val="16"/>
              </w:rPr>
              <w:t>CapEx</w:t>
            </w:r>
            <w:r w:rsidR="005848B4" w:rsidRPr="00535E57">
              <w:rPr>
                <w:rFonts w:ascii="Times New Roman" w:hAnsi="Times New Roman" w:cs="Times New Roman"/>
                <w:sz w:val="18"/>
                <w:szCs w:val="16"/>
              </w:rPr>
              <w:t xml:space="preserve"> </w:t>
            </w:r>
            <w:r w:rsidR="00535E57" w:rsidRPr="00535E57">
              <w:rPr>
                <w:rFonts w:ascii="Times New Roman" w:hAnsi="Times New Roman" w:cs="Times New Roman"/>
                <w:sz w:val="18"/>
                <w:szCs w:val="16"/>
              </w:rPr>
              <w:t>– Full Sample</w:t>
            </w:r>
          </w:p>
        </w:tc>
      </w:tr>
      <w:tr w:rsidR="000928AC" w:rsidRPr="000277B2" w:rsidTr="000928AC">
        <w:trPr>
          <w:trHeight w:val="291"/>
          <w:jc w:val="center"/>
        </w:trPr>
        <w:tc>
          <w:tcPr>
            <w:tcW w:w="1440" w:type="dxa"/>
            <w:tcBorders>
              <w:top w:val="single" w:sz="6" w:space="0" w:color="auto"/>
              <w:left w:val="nil"/>
              <w:bottom w:val="nil"/>
              <w:right w:val="nil"/>
            </w:tcBorders>
          </w:tcPr>
          <w:p w:rsidR="000928AC" w:rsidRPr="000277B2" w:rsidRDefault="000928AC" w:rsidP="00EF1206">
            <w:pPr>
              <w:widowControl w:val="0"/>
              <w:autoSpaceDE w:val="0"/>
              <w:autoSpaceDN w:val="0"/>
              <w:adjustRightInd w:val="0"/>
              <w:spacing w:after="0" w:line="240" w:lineRule="auto"/>
              <w:rPr>
                <w:rFonts w:ascii="Times New Roman" w:hAnsi="Times New Roman" w:cs="Times New Roman"/>
                <w:sz w:val="16"/>
                <w:szCs w:val="16"/>
              </w:rPr>
            </w:pPr>
          </w:p>
        </w:tc>
        <w:tc>
          <w:tcPr>
            <w:tcW w:w="11088" w:type="dxa"/>
            <w:gridSpan w:val="11"/>
            <w:tcBorders>
              <w:top w:val="single" w:sz="6" w:space="0" w:color="auto"/>
              <w:left w:val="nil"/>
              <w:bottom w:val="nil"/>
              <w:right w:val="nil"/>
            </w:tcBorders>
            <w:vAlign w:val="center"/>
          </w:tcPr>
          <w:p w:rsidR="000928AC" w:rsidRPr="000277B2" w:rsidRDefault="000928AC" w:rsidP="00EF1206">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8"/>
                <w:szCs w:val="16"/>
              </w:rPr>
              <w:t>Country Characteristics (COUNTRY)</w:t>
            </w:r>
          </w:p>
        </w:tc>
      </w:tr>
      <w:tr w:rsidR="00535E57" w:rsidRPr="000277B2" w:rsidTr="00355322">
        <w:trPr>
          <w:jc w:val="center"/>
        </w:trPr>
        <w:tc>
          <w:tcPr>
            <w:tcW w:w="1440" w:type="dxa"/>
            <w:tcBorders>
              <w:top w:val="nil"/>
              <w:left w:val="nil"/>
              <w:bottom w:val="single" w:sz="6" w:space="0" w:color="auto"/>
              <w:right w:val="nil"/>
            </w:tcBorders>
          </w:tcPr>
          <w:p w:rsidR="00535E57" w:rsidRPr="000277B2" w:rsidRDefault="00050F48" w:rsidP="00EF1206">
            <w:pPr>
              <w:widowControl w:val="0"/>
              <w:autoSpaceDE w:val="0"/>
              <w:autoSpaceDN w:val="0"/>
              <w:adjustRightInd w:val="0"/>
              <w:spacing w:after="0" w:line="240" w:lineRule="auto"/>
              <w:rPr>
                <w:rFonts w:ascii="Times New Roman" w:hAnsi="Times New Roman" w:cs="Times New Roman"/>
                <w:sz w:val="16"/>
                <w:szCs w:val="16"/>
              </w:rPr>
            </w:pPr>
            <w:r w:rsidRPr="00050F48">
              <w:rPr>
                <w:rFonts w:ascii="Times New Roman" w:hAnsi="Times New Roman" w:cs="Times New Roman"/>
                <w:sz w:val="18"/>
                <w:szCs w:val="16"/>
              </w:rPr>
              <w:t>Variables</w:t>
            </w:r>
          </w:p>
        </w:tc>
        <w:tc>
          <w:tcPr>
            <w:tcW w:w="1008" w:type="dxa"/>
            <w:tcBorders>
              <w:top w:val="nil"/>
              <w:left w:val="nil"/>
              <w:bottom w:val="single" w:sz="6" w:space="0" w:color="auto"/>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AD</w:t>
            </w:r>
          </w:p>
        </w:tc>
        <w:tc>
          <w:tcPr>
            <w:tcW w:w="1008" w:type="dxa"/>
            <w:tcBorders>
              <w:top w:val="nil"/>
              <w:left w:val="nil"/>
              <w:bottom w:val="single" w:sz="6" w:space="0" w:color="auto"/>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AS</w:t>
            </w:r>
          </w:p>
        </w:tc>
        <w:tc>
          <w:tcPr>
            <w:tcW w:w="1008" w:type="dxa"/>
            <w:tcBorders>
              <w:top w:val="nil"/>
              <w:left w:val="nil"/>
              <w:bottom w:val="single" w:sz="6" w:space="0" w:color="auto"/>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DISC</w:t>
            </w:r>
          </w:p>
        </w:tc>
        <w:tc>
          <w:tcPr>
            <w:tcW w:w="1008" w:type="dxa"/>
            <w:tcBorders>
              <w:top w:val="nil"/>
              <w:left w:val="nil"/>
              <w:bottom w:val="single" w:sz="6" w:space="0" w:color="auto"/>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ACCT</w:t>
            </w:r>
          </w:p>
        </w:tc>
        <w:tc>
          <w:tcPr>
            <w:tcW w:w="1008" w:type="dxa"/>
            <w:tcBorders>
              <w:top w:val="nil"/>
              <w:left w:val="nil"/>
              <w:bottom w:val="single" w:sz="6" w:space="0" w:color="auto"/>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EM</w:t>
            </w:r>
          </w:p>
        </w:tc>
        <w:tc>
          <w:tcPr>
            <w:tcW w:w="1008" w:type="dxa"/>
            <w:tcBorders>
              <w:top w:val="nil"/>
              <w:left w:val="nil"/>
              <w:bottom w:val="single" w:sz="6" w:space="0" w:color="auto"/>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UK</w:t>
            </w:r>
          </w:p>
        </w:tc>
        <w:tc>
          <w:tcPr>
            <w:tcW w:w="1008" w:type="dxa"/>
            <w:tcBorders>
              <w:top w:val="nil"/>
              <w:left w:val="nil"/>
              <w:bottom w:val="single" w:sz="6" w:space="0" w:color="auto"/>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RULE</w:t>
            </w:r>
          </w:p>
        </w:tc>
        <w:tc>
          <w:tcPr>
            <w:tcW w:w="1008" w:type="dxa"/>
            <w:tcBorders>
              <w:top w:val="nil"/>
              <w:left w:val="nil"/>
              <w:bottom w:val="single" w:sz="6" w:space="0" w:color="auto"/>
              <w:right w:val="nil"/>
            </w:tcBorders>
          </w:tcPr>
          <w:p w:rsidR="00535E57" w:rsidRPr="004E3829"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EQUITY</w:t>
            </w:r>
          </w:p>
        </w:tc>
        <w:tc>
          <w:tcPr>
            <w:tcW w:w="1008" w:type="dxa"/>
            <w:tcBorders>
              <w:top w:val="nil"/>
              <w:left w:val="nil"/>
              <w:bottom w:val="single" w:sz="6" w:space="0" w:color="auto"/>
              <w:right w:val="nil"/>
            </w:tcBorders>
          </w:tcPr>
          <w:p w:rsidR="00535E57" w:rsidRPr="004E3829"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CREDIT</w:t>
            </w:r>
          </w:p>
        </w:tc>
        <w:tc>
          <w:tcPr>
            <w:tcW w:w="1008" w:type="dxa"/>
            <w:tcBorders>
              <w:top w:val="nil"/>
              <w:left w:val="nil"/>
              <w:bottom w:val="single" w:sz="6" w:space="0" w:color="auto"/>
              <w:right w:val="nil"/>
            </w:tcBorders>
          </w:tcPr>
          <w:p w:rsidR="00535E57" w:rsidRPr="004E3829"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FD</w:t>
            </w:r>
          </w:p>
        </w:tc>
        <w:tc>
          <w:tcPr>
            <w:tcW w:w="1008" w:type="dxa"/>
            <w:tcBorders>
              <w:top w:val="nil"/>
              <w:left w:val="nil"/>
              <w:bottom w:val="single" w:sz="6" w:space="0" w:color="auto"/>
              <w:right w:val="nil"/>
            </w:tcBorders>
          </w:tcPr>
          <w:p w:rsidR="00535E57" w:rsidRPr="004E3829"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IPO</w:t>
            </w:r>
          </w:p>
        </w:tc>
      </w:tr>
      <w:tr w:rsidR="00535E57" w:rsidRPr="000277B2" w:rsidTr="00355322">
        <w:trPr>
          <w:jc w:val="center"/>
        </w:trPr>
        <w:tc>
          <w:tcPr>
            <w:tcW w:w="1440"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r>
      <w:tr w:rsidR="0015717F" w:rsidRPr="000277B2" w:rsidTr="00355322">
        <w:trPr>
          <w:jc w:val="center"/>
        </w:trPr>
        <w:tc>
          <w:tcPr>
            <w:tcW w:w="1440" w:type="dxa"/>
            <w:tcBorders>
              <w:top w:val="nil"/>
              <w:left w:val="nil"/>
              <w:bottom w:val="nil"/>
              <w:right w:val="nil"/>
            </w:tcBorders>
          </w:tcPr>
          <w:p w:rsidR="0015717F" w:rsidRPr="000277B2" w:rsidRDefault="0015717F" w:rsidP="00EF1206">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COUNTRY</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w:t>
            </w:r>
          </w:p>
        </w:tc>
        <w:tc>
          <w:tcPr>
            <w:tcW w:w="1008" w:type="dxa"/>
            <w:tcBorders>
              <w:top w:val="nil"/>
              <w:left w:val="nil"/>
              <w:bottom w:val="nil"/>
              <w:right w:val="nil"/>
            </w:tcBorders>
          </w:tcPr>
          <w:p w:rsidR="0015717F" w:rsidRPr="00D126B7" w:rsidRDefault="003F7D8D" w:rsidP="003F7D8D">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-0.0012</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-0.202</w:t>
            </w:r>
          </w:p>
        </w:tc>
        <w:tc>
          <w:tcPr>
            <w:tcW w:w="1008" w:type="dxa"/>
            <w:tcBorders>
              <w:top w:val="nil"/>
              <w:left w:val="nil"/>
              <w:bottom w:val="nil"/>
              <w:right w:val="nil"/>
            </w:tcBorders>
          </w:tcPr>
          <w:p w:rsidR="0015717F" w:rsidRPr="00D126B7" w:rsidRDefault="003F7D8D" w:rsidP="003F7D8D">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0.0009</w:t>
            </w:r>
            <w:r w:rsidR="0015717F" w:rsidRPr="00D126B7">
              <w:rPr>
                <w:rFonts w:ascii="Times New Roman" w:hAnsi="Times New Roman" w:cs="Times New Roman"/>
                <w:sz w:val="16"/>
                <w:szCs w:val="24"/>
              </w:rPr>
              <w:t>**</w:t>
            </w:r>
          </w:p>
        </w:tc>
        <w:tc>
          <w:tcPr>
            <w:tcW w:w="1008" w:type="dxa"/>
            <w:tcBorders>
              <w:top w:val="nil"/>
              <w:left w:val="nil"/>
              <w:bottom w:val="nil"/>
              <w:right w:val="nil"/>
            </w:tcBorders>
          </w:tcPr>
          <w:p w:rsidR="0015717F" w:rsidRPr="00D126B7" w:rsidRDefault="0015717F" w:rsidP="003F7D8D">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0.001</w:t>
            </w:r>
            <w:r w:rsidR="003F7D8D">
              <w:rPr>
                <w:rFonts w:ascii="Times New Roman" w:hAnsi="Times New Roman" w:cs="Times New Roman"/>
                <w:sz w:val="16"/>
                <w:szCs w:val="24"/>
              </w:rPr>
              <w:t>8</w:t>
            </w:r>
            <w:r w:rsidRPr="00D126B7">
              <w:rPr>
                <w:rFonts w:ascii="Times New Roman" w:hAnsi="Times New Roman" w:cs="Times New Roman"/>
                <w:sz w:val="16"/>
                <w:szCs w:val="24"/>
              </w:rPr>
              <w:t>***</w:t>
            </w:r>
          </w:p>
        </w:tc>
        <w:tc>
          <w:tcPr>
            <w:tcW w:w="1008" w:type="dxa"/>
            <w:tcBorders>
              <w:top w:val="nil"/>
              <w:left w:val="nil"/>
              <w:bottom w:val="nil"/>
              <w:right w:val="nil"/>
            </w:tcBorders>
          </w:tcPr>
          <w:p w:rsidR="0015717F" w:rsidRPr="00D126B7" w:rsidRDefault="0015717F" w:rsidP="003F7D8D">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0.000</w:t>
            </w:r>
            <w:r w:rsidR="003F7D8D">
              <w:rPr>
                <w:rFonts w:ascii="Times New Roman" w:hAnsi="Times New Roman" w:cs="Times New Roman"/>
                <w:sz w:val="16"/>
                <w:szCs w:val="24"/>
              </w:rPr>
              <w:t>7</w:t>
            </w:r>
            <w:r w:rsidRPr="00D126B7">
              <w:rPr>
                <w:rFonts w:ascii="Times New Roman" w:hAnsi="Times New Roman" w:cs="Times New Roman"/>
                <w:sz w:val="16"/>
                <w:szCs w:val="24"/>
              </w:rPr>
              <w:t>**</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w:t>
            </w:r>
          </w:p>
        </w:tc>
      </w:tr>
      <w:tr w:rsidR="0015717F" w:rsidRPr="000277B2" w:rsidTr="00355322">
        <w:trPr>
          <w:jc w:val="center"/>
        </w:trPr>
        <w:tc>
          <w:tcPr>
            <w:tcW w:w="1440" w:type="dxa"/>
            <w:tcBorders>
              <w:top w:val="nil"/>
              <w:left w:val="nil"/>
              <w:bottom w:val="nil"/>
              <w:right w:val="nil"/>
            </w:tcBorders>
          </w:tcPr>
          <w:p w:rsidR="0015717F" w:rsidRPr="000277B2" w:rsidRDefault="0015717F" w:rsidP="00EF1206">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(0.0180)</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(0.160)</w:t>
            </w:r>
          </w:p>
        </w:tc>
        <w:tc>
          <w:tcPr>
            <w:tcW w:w="1008" w:type="dxa"/>
            <w:tcBorders>
              <w:top w:val="nil"/>
              <w:left w:val="nil"/>
              <w:bottom w:val="nil"/>
              <w:right w:val="nil"/>
            </w:tcBorders>
          </w:tcPr>
          <w:p w:rsidR="0015717F" w:rsidRPr="00D126B7" w:rsidRDefault="0015717F" w:rsidP="003F7D8D">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(0.0004)</w:t>
            </w:r>
          </w:p>
        </w:tc>
        <w:tc>
          <w:tcPr>
            <w:tcW w:w="1008" w:type="dxa"/>
            <w:tcBorders>
              <w:top w:val="nil"/>
              <w:left w:val="nil"/>
              <w:bottom w:val="nil"/>
              <w:right w:val="nil"/>
            </w:tcBorders>
          </w:tcPr>
          <w:p w:rsidR="0015717F" w:rsidRPr="00D126B7" w:rsidRDefault="0015717F" w:rsidP="003F7D8D">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(0.0005)</w:t>
            </w:r>
          </w:p>
        </w:tc>
        <w:tc>
          <w:tcPr>
            <w:tcW w:w="1008" w:type="dxa"/>
            <w:tcBorders>
              <w:top w:val="nil"/>
              <w:left w:val="nil"/>
              <w:bottom w:val="nil"/>
              <w:right w:val="nil"/>
            </w:tcBorders>
          </w:tcPr>
          <w:p w:rsidR="0015717F" w:rsidRPr="00D126B7" w:rsidRDefault="0015717F" w:rsidP="003F7D8D">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(0.0003)</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p>
        </w:tc>
      </w:tr>
      <w:tr w:rsidR="0015717F" w:rsidRPr="000277B2" w:rsidTr="0015717F">
        <w:trPr>
          <w:jc w:val="center"/>
        </w:trPr>
        <w:tc>
          <w:tcPr>
            <w:tcW w:w="1440" w:type="dxa"/>
            <w:tcBorders>
              <w:top w:val="nil"/>
              <w:left w:val="nil"/>
              <w:bottom w:val="nil"/>
              <w:right w:val="nil"/>
            </w:tcBorders>
          </w:tcPr>
          <w:p w:rsidR="0015717F" w:rsidRPr="000277B2" w:rsidRDefault="0015717F" w:rsidP="003E5E2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COUNTRY</w:t>
            </w:r>
            <w:r w:rsidRPr="000277B2">
              <w:rPr>
                <w:rFonts w:ascii="Times New Roman" w:hAnsi="Times New Roman" w:cs="Times New Roman"/>
                <w:sz w:val="16"/>
                <w:szCs w:val="16"/>
              </w:rPr>
              <w:t>×</w:t>
            </w:r>
            <w:r>
              <w:rPr>
                <w:rFonts w:ascii="Times New Roman" w:hAnsi="Times New Roman" w:cs="Times New Roman"/>
                <w:sz w:val="16"/>
                <w:szCs w:val="16"/>
              </w:rPr>
              <w:t>Q</w:t>
            </w:r>
            <w:r w:rsidRPr="000277B2">
              <w:rPr>
                <w:rFonts w:ascii="Times New Roman" w:hAnsi="Times New Roman" w:cs="Times New Roman"/>
                <w:sz w:val="16"/>
                <w:szCs w:val="16"/>
              </w:rPr>
              <w:t>4</w:t>
            </w:r>
            <w:r>
              <w:rPr>
                <w:rFonts w:ascii="Times New Roman" w:hAnsi="Times New Roman" w:cs="Times New Roman"/>
                <w:sz w:val="16"/>
                <w:szCs w:val="16"/>
              </w:rPr>
              <w:t xml:space="preserve"> Dummy</w:t>
            </w:r>
          </w:p>
        </w:tc>
        <w:tc>
          <w:tcPr>
            <w:tcW w:w="1008" w:type="dxa"/>
            <w:tcBorders>
              <w:top w:val="nil"/>
              <w:left w:val="nil"/>
              <w:bottom w:val="nil"/>
              <w:right w:val="nil"/>
            </w:tcBorders>
            <w:vAlign w:val="center"/>
          </w:tcPr>
          <w:p w:rsidR="0015717F" w:rsidRPr="00D126B7" w:rsidRDefault="0015717F" w:rsidP="0015717F">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-0.0458***</w:t>
            </w:r>
          </w:p>
        </w:tc>
        <w:tc>
          <w:tcPr>
            <w:tcW w:w="1008" w:type="dxa"/>
            <w:tcBorders>
              <w:top w:val="nil"/>
              <w:left w:val="nil"/>
              <w:bottom w:val="nil"/>
              <w:right w:val="nil"/>
            </w:tcBorders>
            <w:vAlign w:val="center"/>
          </w:tcPr>
          <w:p w:rsidR="0015717F" w:rsidRPr="00D126B7" w:rsidRDefault="0015717F" w:rsidP="0015717F">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-0.274**</w:t>
            </w:r>
          </w:p>
        </w:tc>
        <w:tc>
          <w:tcPr>
            <w:tcW w:w="1008" w:type="dxa"/>
            <w:tcBorders>
              <w:top w:val="nil"/>
              <w:left w:val="nil"/>
              <w:bottom w:val="nil"/>
              <w:right w:val="nil"/>
            </w:tcBorders>
            <w:vAlign w:val="center"/>
          </w:tcPr>
          <w:p w:rsidR="0015717F" w:rsidRPr="00D126B7" w:rsidRDefault="0015717F" w:rsidP="0015717F">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-0.0172</w:t>
            </w:r>
          </w:p>
        </w:tc>
        <w:tc>
          <w:tcPr>
            <w:tcW w:w="1008" w:type="dxa"/>
            <w:tcBorders>
              <w:top w:val="nil"/>
              <w:left w:val="nil"/>
              <w:bottom w:val="nil"/>
              <w:right w:val="nil"/>
            </w:tcBorders>
            <w:vAlign w:val="center"/>
          </w:tcPr>
          <w:p w:rsidR="0015717F" w:rsidRPr="00D126B7" w:rsidRDefault="003F7D8D" w:rsidP="0015717F">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-0.0084</w:t>
            </w:r>
            <w:r w:rsidR="0015717F" w:rsidRPr="00D126B7">
              <w:rPr>
                <w:rFonts w:ascii="Times New Roman" w:hAnsi="Times New Roman" w:cs="Times New Roman"/>
                <w:sz w:val="16"/>
                <w:szCs w:val="24"/>
              </w:rPr>
              <w:t>***</w:t>
            </w:r>
          </w:p>
        </w:tc>
        <w:tc>
          <w:tcPr>
            <w:tcW w:w="1008" w:type="dxa"/>
            <w:tcBorders>
              <w:top w:val="nil"/>
              <w:left w:val="nil"/>
              <w:bottom w:val="nil"/>
              <w:right w:val="nil"/>
            </w:tcBorders>
            <w:vAlign w:val="center"/>
          </w:tcPr>
          <w:p w:rsidR="0015717F" w:rsidRPr="00D126B7" w:rsidRDefault="0015717F" w:rsidP="003F7D8D">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0.0078***</w:t>
            </w:r>
          </w:p>
        </w:tc>
        <w:tc>
          <w:tcPr>
            <w:tcW w:w="1008" w:type="dxa"/>
            <w:tcBorders>
              <w:top w:val="nil"/>
              <w:left w:val="nil"/>
              <w:bottom w:val="nil"/>
              <w:right w:val="nil"/>
            </w:tcBorders>
            <w:vAlign w:val="center"/>
          </w:tcPr>
          <w:p w:rsidR="0015717F" w:rsidRPr="00D126B7" w:rsidRDefault="0015717F" w:rsidP="0015717F">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-0.139**</w:t>
            </w:r>
          </w:p>
        </w:tc>
        <w:tc>
          <w:tcPr>
            <w:tcW w:w="1008" w:type="dxa"/>
            <w:tcBorders>
              <w:top w:val="nil"/>
              <w:left w:val="nil"/>
              <w:bottom w:val="nil"/>
              <w:right w:val="nil"/>
            </w:tcBorders>
            <w:vAlign w:val="center"/>
          </w:tcPr>
          <w:p w:rsidR="0015717F" w:rsidRPr="00D126B7" w:rsidRDefault="0015717F" w:rsidP="0015717F">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-0.144***</w:t>
            </w:r>
          </w:p>
        </w:tc>
        <w:tc>
          <w:tcPr>
            <w:tcW w:w="1008" w:type="dxa"/>
            <w:tcBorders>
              <w:top w:val="nil"/>
              <w:left w:val="nil"/>
              <w:bottom w:val="nil"/>
              <w:right w:val="nil"/>
            </w:tcBorders>
            <w:vAlign w:val="center"/>
          </w:tcPr>
          <w:p w:rsidR="0015717F" w:rsidRPr="00D126B7" w:rsidRDefault="003F7D8D" w:rsidP="003F7D8D">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-0.0004</w:t>
            </w:r>
            <w:r w:rsidR="0015717F" w:rsidRPr="00D126B7">
              <w:rPr>
                <w:rFonts w:ascii="Times New Roman" w:hAnsi="Times New Roman" w:cs="Times New Roman"/>
                <w:sz w:val="16"/>
                <w:szCs w:val="24"/>
              </w:rPr>
              <w:t>*</w:t>
            </w:r>
          </w:p>
        </w:tc>
        <w:tc>
          <w:tcPr>
            <w:tcW w:w="1008" w:type="dxa"/>
            <w:tcBorders>
              <w:top w:val="nil"/>
              <w:left w:val="nil"/>
              <w:bottom w:val="nil"/>
              <w:right w:val="nil"/>
            </w:tcBorders>
            <w:vAlign w:val="center"/>
          </w:tcPr>
          <w:p w:rsidR="0015717F" w:rsidRPr="00D126B7" w:rsidRDefault="0015717F" w:rsidP="003F7D8D">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-0.001</w:t>
            </w:r>
            <w:r w:rsidR="003F7D8D">
              <w:rPr>
                <w:rFonts w:ascii="Times New Roman" w:hAnsi="Times New Roman" w:cs="Times New Roman"/>
                <w:sz w:val="16"/>
                <w:szCs w:val="24"/>
              </w:rPr>
              <w:t>7</w:t>
            </w:r>
            <w:r w:rsidRPr="00D126B7">
              <w:rPr>
                <w:rFonts w:ascii="Times New Roman" w:hAnsi="Times New Roman" w:cs="Times New Roman"/>
                <w:sz w:val="16"/>
                <w:szCs w:val="24"/>
              </w:rPr>
              <w:t>***</w:t>
            </w:r>
          </w:p>
        </w:tc>
        <w:tc>
          <w:tcPr>
            <w:tcW w:w="1008" w:type="dxa"/>
            <w:tcBorders>
              <w:top w:val="nil"/>
              <w:left w:val="nil"/>
              <w:bottom w:val="nil"/>
              <w:right w:val="nil"/>
            </w:tcBorders>
            <w:vAlign w:val="center"/>
          </w:tcPr>
          <w:p w:rsidR="0015717F" w:rsidRPr="00D126B7" w:rsidRDefault="0015717F" w:rsidP="003F7D8D">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-0.0005**</w:t>
            </w:r>
          </w:p>
        </w:tc>
        <w:tc>
          <w:tcPr>
            <w:tcW w:w="1008" w:type="dxa"/>
            <w:tcBorders>
              <w:top w:val="nil"/>
              <w:left w:val="nil"/>
              <w:bottom w:val="nil"/>
              <w:right w:val="nil"/>
            </w:tcBorders>
            <w:vAlign w:val="center"/>
          </w:tcPr>
          <w:p w:rsidR="0015717F" w:rsidRPr="00D126B7" w:rsidRDefault="0015717F" w:rsidP="0015717F">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-0.0211***</w:t>
            </w:r>
          </w:p>
        </w:tc>
      </w:tr>
      <w:tr w:rsidR="0015717F" w:rsidRPr="000277B2" w:rsidTr="00355322">
        <w:trPr>
          <w:trHeight w:val="333"/>
          <w:jc w:val="center"/>
        </w:trPr>
        <w:tc>
          <w:tcPr>
            <w:tcW w:w="1440" w:type="dxa"/>
            <w:tcBorders>
              <w:top w:val="nil"/>
              <w:left w:val="nil"/>
              <w:bottom w:val="nil"/>
              <w:right w:val="nil"/>
            </w:tcBorders>
          </w:tcPr>
          <w:p w:rsidR="0015717F" w:rsidRPr="000277B2" w:rsidRDefault="0015717F" w:rsidP="00EF1206">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(0.0116)</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(0.121)</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(0.0121)</w:t>
            </w:r>
          </w:p>
        </w:tc>
        <w:tc>
          <w:tcPr>
            <w:tcW w:w="1008" w:type="dxa"/>
            <w:tcBorders>
              <w:top w:val="nil"/>
              <w:left w:val="nil"/>
              <w:bottom w:val="nil"/>
              <w:right w:val="nil"/>
            </w:tcBorders>
          </w:tcPr>
          <w:p w:rsidR="0015717F" w:rsidRPr="00D126B7" w:rsidRDefault="0015717F" w:rsidP="003F7D8D">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(0.002</w:t>
            </w:r>
            <w:r w:rsidR="003F7D8D">
              <w:rPr>
                <w:rFonts w:ascii="Times New Roman" w:hAnsi="Times New Roman" w:cs="Times New Roman"/>
                <w:sz w:val="16"/>
                <w:szCs w:val="24"/>
              </w:rPr>
              <w:t>8</w:t>
            </w:r>
            <w:r w:rsidRPr="00D126B7">
              <w:rPr>
                <w:rFonts w:ascii="Times New Roman" w:hAnsi="Times New Roman" w:cs="Times New Roman"/>
                <w:sz w:val="16"/>
                <w:szCs w:val="24"/>
              </w:rPr>
              <w:t>)</w:t>
            </w:r>
          </w:p>
        </w:tc>
        <w:tc>
          <w:tcPr>
            <w:tcW w:w="1008" w:type="dxa"/>
            <w:tcBorders>
              <w:top w:val="nil"/>
              <w:left w:val="nil"/>
              <w:bottom w:val="nil"/>
              <w:right w:val="nil"/>
            </w:tcBorders>
          </w:tcPr>
          <w:p w:rsidR="0015717F" w:rsidRPr="00D126B7" w:rsidRDefault="0015717F" w:rsidP="003F7D8D">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(0.00</w:t>
            </w:r>
            <w:r w:rsidR="003F7D8D">
              <w:rPr>
                <w:rFonts w:ascii="Times New Roman" w:hAnsi="Times New Roman" w:cs="Times New Roman"/>
                <w:sz w:val="16"/>
                <w:szCs w:val="24"/>
              </w:rPr>
              <w:t>20</w:t>
            </w:r>
            <w:r w:rsidRPr="00D126B7">
              <w:rPr>
                <w:rFonts w:ascii="Times New Roman" w:hAnsi="Times New Roman" w:cs="Times New Roman"/>
                <w:sz w:val="16"/>
                <w:szCs w:val="24"/>
              </w:rPr>
              <w:t>)</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(0.0526)</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(0.0277)</w:t>
            </w:r>
          </w:p>
        </w:tc>
        <w:tc>
          <w:tcPr>
            <w:tcW w:w="1008" w:type="dxa"/>
            <w:tcBorders>
              <w:top w:val="nil"/>
              <w:left w:val="nil"/>
              <w:bottom w:val="nil"/>
              <w:right w:val="nil"/>
            </w:tcBorders>
          </w:tcPr>
          <w:p w:rsidR="0015717F" w:rsidRPr="00D126B7" w:rsidRDefault="0015717F" w:rsidP="003F7D8D">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(0.000</w:t>
            </w:r>
            <w:r w:rsidR="003F7D8D">
              <w:rPr>
                <w:rFonts w:ascii="Times New Roman" w:hAnsi="Times New Roman" w:cs="Times New Roman"/>
                <w:sz w:val="16"/>
                <w:szCs w:val="24"/>
              </w:rPr>
              <w:t>2</w:t>
            </w:r>
            <w:r w:rsidRPr="00D126B7">
              <w:rPr>
                <w:rFonts w:ascii="Times New Roman" w:hAnsi="Times New Roman" w:cs="Times New Roman"/>
                <w:sz w:val="16"/>
                <w:szCs w:val="24"/>
              </w:rPr>
              <w:t>)</w:t>
            </w:r>
          </w:p>
        </w:tc>
        <w:tc>
          <w:tcPr>
            <w:tcW w:w="1008" w:type="dxa"/>
            <w:tcBorders>
              <w:top w:val="nil"/>
              <w:left w:val="nil"/>
              <w:bottom w:val="nil"/>
              <w:right w:val="nil"/>
            </w:tcBorders>
          </w:tcPr>
          <w:p w:rsidR="0015717F" w:rsidRPr="00D126B7" w:rsidRDefault="0015717F" w:rsidP="003F7D8D">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(0.000</w:t>
            </w:r>
            <w:r w:rsidR="003F7D8D">
              <w:rPr>
                <w:rFonts w:ascii="Times New Roman" w:hAnsi="Times New Roman" w:cs="Times New Roman"/>
                <w:sz w:val="16"/>
                <w:szCs w:val="24"/>
              </w:rPr>
              <w:t>4</w:t>
            </w:r>
            <w:r w:rsidRPr="00D126B7">
              <w:rPr>
                <w:rFonts w:ascii="Times New Roman" w:hAnsi="Times New Roman" w:cs="Times New Roman"/>
                <w:sz w:val="16"/>
                <w:szCs w:val="24"/>
              </w:rPr>
              <w:t>)</w:t>
            </w:r>
          </w:p>
        </w:tc>
        <w:tc>
          <w:tcPr>
            <w:tcW w:w="1008" w:type="dxa"/>
            <w:tcBorders>
              <w:top w:val="nil"/>
              <w:left w:val="nil"/>
              <w:bottom w:val="nil"/>
              <w:right w:val="nil"/>
            </w:tcBorders>
          </w:tcPr>
          <w:p w:rsidR="0015717F" w:rsidRPr="00D126B7" w:rsidRDefault="0015717F" w:rsidP="003F7D8D">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(0.0002)</w:t>
            </w:r>
          </w:p>
        </w:tc>
        <w:tc>
          <w:tcPr>
            <w:tcW w:w="1008" w:type="dxa"/>
            <w:tcBorders>
              <w:top w:val="nil"/>
              <w:left w:val="nil"/>
              <w:bottom w:val="nil"/>
              <w:right w:val="nil"/>
            </w:tcBorders>
          </w:tcPr>
          <w:p w:rsidR="0015717F" w:rsidRPr="00D126B7" w:rsidRDefault="0015717F" w:rsidP="003F7D8D">
            <w:pPr>
              <w:widowControl w:val="0"/>
              <w:autoSpaceDE w:val="0"/>
              <w:autoSpaceDN w:val="0"/>
              <w:adjustRightInd w:val="0"/>
              <w:spacing w:after="0" w:line="240" w:lineRule="auto"/>
              <w:jc w:val="center"/>
              <w:rPr>
                <w:rFonts w:ascii="Times New Roman" w:hAnsi="Times New Roman" w:cs="Times New Roman"/>
                <w:sz w:val="16"/>
                <w:szCs w:val="24"/>
              </w:rPr>
            </w:pPr>
            <w:r w:rsidRPr="00D126B7">
              <w:rPr>
                <w:rFonts w:ascii="Times New Roman" w:hAnsi="Times New Roman" w:cs="Times New Roman"/>
                <w:sz w:val="16"/>
                <w:szCs w:val="24"/>
              </w:rPr>
              <w:t>(0.0074)</w:t>
            </w:r>
          </w:p>
        </w:tc>
      </w:tr>
      <w:tr w:rsidR="00535E57" w:rsidRPr="000277B2" w:rsidTr="00355322">
        <w:trPr>
          <w:jc w:val="center"/>
        </w:trPr>
        <w:tc>
          <w:tcPr>
            <w:tcW w:w="1440" w:type="dxa"/>
            <w:tcBorders>
              <w:top w:val="nil"/>
              <w:left w:val="nil"/>
              <w:bottom w:val="nil"/>
              <w:right w:val="nil"/>
            </w:tcBorders>
            <w:vAlign w:val="center"/>
          </w:tcPr>
          <w:p w:rsidR="00535E57" w:rsidRPr="000277B2" w:rsidRDefault="00535E57" w:rsidP="00552592">
            <w:pPr>
              <w:spacing w:after="0" w:line="240" w:lineRule="auto"/>
              <w:rPr>
                <w:rFonts w:ascii="Times New Roman" w:eastAsia="Times New Roman" w:hAnsi="Times New Roman" w:cs="Times New Roman"/>
                <w:sz w:val="16"/>
                <w:szCs w:val="16"/>
              </w:rPr>
            </w:pPr>
            <w:r w:rsidRPr="000277B2">
              <w:rPr>
                <w:rFonts w:ascii="Times New Roman" w:eastAsia="Times New Roman" w:hAnsi="Times New Roman" w:cs="Times New Roman"/>
                <w:sz w:val="16"/>
                <w:szCs w:val="16"/>
              </w:rPr>
              <w:t>Firm FE</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r>
      <w:tr w:rsidR="00535E57" w:rsidRPr="000277B2" w:rsidTr="00355322">
        <w:trPr>
          <w:jc w:val="center"/>
        </w:trPr>
        <w:tc>
          <w:tcPr>
            <w:tcW w:w="1440" w:type="dxa"/>
            <w:tcBorders>
              <w:top w:val="nil"/>
              <w:left w:val="nil"/>
              <w:bottom w:val="nil"/>
              <w:right w:val="nil"/>
            </w:tcBorders>
            <w:vAlign w:val="center"/>
          </w:tcPr>
          <w:p w:rsidR="00535E57" w:rsidRPr="000277B2" w:rsidRDefault="00535E57" w:rsidP="00552592">
            <w:pPr>
              <w:spacing w:after="0" w:line="240" w:lineRule="auto"/>
              <w:rPr>
                <w:rFonts w:ascii="Times New Roman" w:eastAsia="Times New Roman" w:hAnsi="Times New Roman" w:cs="Times New Roman"/>
                <w:sz w:val="16"/>
                <w:szCs w:val="16"/>
              </w:rPr>
            </w:pPr>
            <w:r w:rsidRPr="000277B2">
              <w:rPr>
                <w:rFonts w:ascii="Times New Roman" w:eastAsia="Times New Roman" w:hAnsi="Times New Roman" w:cs="Times New Roman"/>
                <w:sz w:val="16"/>
                <w:szCs w:val="16"/>
              </w:rPr>
              <w:t>Industry-Time FE</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r>
      <w:tr w:rsidR="00535E57" w:rsidRPr="000277B2" w:rsidTr="00355322">
        <w:trPr>
          <w:jc w:val="center"/>
        </w:trPr>
        <w:tc>
          <w:tcPr>
            <w:tcW w:w="1440"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0277B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r>
      <w:tr w:rsidR="0015717F" w:rsidRPr="000277B2" w:rsidTr="00355322">
        <w:trPr>
          <w:jc w:val="center"/>
        </w:trPr>
        <w:tc>
          <w:tcPr>
            <w:tcW w:w="1440" w:type="dxa"/>
            <w:tcBorders>
              <w:top w:val="nil"/>
              <w:left w:val="nil"/>
              <w:bottom w:val="nil"/>
              <w:right w:val="nil"/>
            </w:tcBorders>
          </w:tcPr>
          <w:p w:rsidR="0015717F" w:rsidRPr="00535E57" w:rsidRDefault="0015717F" w:rsidP="00EF1206">
            <w:pPr>
              <w:widowControl w:val="0"/>
              <w:autoSpaceDE w:val="0"/>
              <w:autoSpaceDN w:val="0"/>
              <w:adjustRightInd w:val="0"/>
              <w:spacing w:after="0" w:line="240" w:lineRule="auto"/>
              <w:rPr>
                <w:rFonts w:ascii="Times New Roman" w:hAnsi="Times New Roman" w:cs="Times New Roman"/>
                <w:sz w:val="16"/>
                <w:szCs w:val="16"/>
              </w:rPr>
            </w:pPr>
            <w:r w:rsidRPr="00535E57">
              <w:rPr>
                <w:rFonts w:ascii="Times New Roman" w:hAnsi="Times New Roman" w:cs="Times New Roman"/>
                <w:sz w:val="16"/>
                <w:szCs w:val="16"/>
              </w:rPr>
              <w:t>Observations</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199,113</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203,804</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193,659</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191,863</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185,327</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206,601</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206,601</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187,771</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193,881</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175,234</w:t>
            </w:r>
          </w:p>
        </w:tc>
        <w:tc>
          <w:tcPr>
            <w:tcW w:w="1008" w:type="dxa"/>
            <w:tcBorders>
              <w:top w:val="nil"/>
              <w:left w:val="nil"/>
              <w:bottom w:val="nil"/>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199,113</w:t>
            </w:r>
          </w:p>
        </w:tc>
      </w:tr>
      <w:tr w:rsidR="0015717F" w:rsidRPr="000277B2" w:rsidTr="000928AC">
        <w:tblPrEx>
          <w:tblBorders>
            <w:bottom w:val="single" w:sz="6" w:space="0" w:color="auto"/>
          </w:tblBorders>
        </w:tblPrEx>
        <w:trPr>
          <w:jc w:val="center"/>
        </w:trPr>
        <w:tc>
          <w:tcPr>
            <w:tcW w:w="1440" w:type="dxa"/>
            <w:tcBorders>
              <w:top w:val="nil"/>
              <w:left w:val="nil"/>
              <w:bottom w:val="double" w:sz="4" w:space="0" w:color="auto"/>
              <w:right w:val="nil"/>
            </w:tcBorders>
          </w:tcPr>
          <w:p w:rsidR="0015717F" w:rsidRPr="000277B2" w:rsidRDefault="0015717F" w:rsidP="00EF1206">
            <w:pPr>
              <w:widowControl w:val="0"/>
              <w:autoSpaceDE w:val="0"/>
              <w:autoSpaceDN w:val="0"/>
              <w:adjustRightInd w:val="0"/>
              <w:spacing w:after="0" w:line="240" w:lineRule="auto"/>
              <w:rPr>
                <w:rFonts w:ascii="Times New Roman" w:hAnsi="Times New Roman" w:cs="Times New Roman"/>
                <w:sz w:val="16"/>
                <w:szCs w:val="16"/>
              </w:rPr>
            </w:pPr>
            <w:r w:rsidRPr="000277B2">
              <w:rPr>
                <w:rFonts w:ascii="Times New Roman" w:hAnsi="Times New Roman" w:cs="Times New Roman"/>
                <w:sz w:val="16"/>
                <w:szCs w:val="16"/>
              </w:rPr>
              <w:t>R-squared</w:t>
            </w:r>
          </w:p>
        </w:tc>
        <w:tc>
          <w:tcPr>
            <w:tcW w:w="1008" w:type="dxa"/>
            <w:tcBorders>
              <w:top w:val="nil"/>
              <w:left w:val="nil"/>
              <w:bottom w:val="double" w:sz="4" w:space="0" w:color="auto"/>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0.523</w:t>
            </w:r>
          </w:p>
        </w:tc>
        <w:tc>
          <w:tcPr>
            <w:tcW w:w="1008" w:type="dxa"/>
            <w:tcBorders>
              <w:top w:val="nil"/>
              <w:left w:val="nil"/>
              <w:bottom w:val="double" w:sz="4" w:space="0" w:color="auto"/>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0.520</w:t>
            </w:r>
          </w:p>
        </w:tc>
        <w:tc>
          <w:tcPr>
            <w:tcW w:w="1008" w:type="dxa"/>
            <w:tcBorders>
              <w:top w:val="nil"/>
              <w:left w:val="nil"/>
              <w:bottom w:val="double" w:sz="4" w:space="0" w:color="auto"/>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0.523</w:t>
            </w:r>
          </w:p>
        </w:tc>
        <w:tc>
          <w:tcPr>
            <w:tcW w:w="1008" w:type="dxa"/>
            <w:tcBorders>
              <w:top w:val="nil"/>
              <w:left w:val="nil"/>
              <w:bottom w:val="double" w:sz="4" w:space="0" w:color="auto"/>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0.529</w:t>
            </w:r>
          </w:p>
        </w:tc>
        <w:tc>
          <w:tcPr>
            <w:tcW w:w="1008" w:type="dxa"/>
            <w:tcBorders>
              <w:top w:val="nil"/>
              <w:left w:val="nil"/>
              <w:bottom w:val="double" w:sz="4" w:space="0" w:color="auto"/>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0.531</w:t>
            </w:r>
          </w:p>
        </w:tc>
        <w:tc>
          <w:tcPr>
            <w:tcW w:w="1008" w:type="dxa"/>
            <w:tcBorders>
              <w:top w:val="nil"/>
              <w:left w:val="nil"/>
              <w:bottom w:val="double" w:sz="4" w:space="0" w:color="auto"/>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0.518</w:t>
            </w:r>
          </w:p>
        </w:tc>
        <w:tc>
          <w:tcPr>
            <w:tcW w:w="1008" w:type="dxa"/>
            <w:tcBorders>
              <w:top w:val="nil"/>
              <w:left w:val="nil"/>
              <w:bottom w:val="double" w:sz="4" w:space="0" w:color="auto"/>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0.519</w:t>
            </w:r>
          </w:p>
        </w:tc>
        <w:tc>
          <w:tcPr>
            <w:tcW w:w="1008" w:type="dxa"/>
            <w:tcBorders>
              <w:top w:val="nil"/>
              <w:left w:val="nil"/>
              <w:bottom w:val="double" w:sz="4" w:space="0" w:color="auto"/>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0.526</w:t>
            </w:r>
          </w:p>
        </w:tc>
        <w:tc>
          <w:tcPr>
            <w:tcW w:w="1008" w:type="dxa"/>
            <w:tcBorders>
              <w:top w:val="nil"/>
              <w:left w:val="nil"/>
              <w:bottom w:val="double" w:sz="4" w:space="0" w:color="auto"/>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0.522</w:t>
            </w:r>
          </w:p>
        </w:tc>
        <w:tc>
          <w:tcPr>
            <w:tcW w:w="1008" w:type="dxa"/>
            <w:tcBorders>
              <w:top w:val="nil"/>
              <w:left w:val="nil"/>
              <w:bottom w:val="double" w:sz="4" w:space="0" w:color="auto"/>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0.530</w:t>
            </w:r>
          </w:p>
        </w:tc>
        <w:tc>
          <w:tcPr>
            <w:tcW w:w="1008" w:type="dxa"/>
            <w:tcBorders>
              <w:top w:val="nil"/>
              <w:left w:val="nil"/>
              <w:bottom w:val="double" w:sz="4" w:space="0" w:color="auto"/>
              <w:right w:val="nil"/>
            </w:tcBorders>
          </w:tcPr>
          <w:p w:rsidR="0015717F" w:rsidRPr="00D126B7" w:rsidRDefault="0015717F" w:rsidP="005A07A2">
            <w:pPr>
              <w:widowControl w:val="0"/>
              <w:autoSpaceDE w:val="0"/>
              <w:autoSpaceDN w:val="0"/>
              <w:adjustRightInd w:val="0"/>
              <w:spacing w:after="0" w:line="240" w:lineRule="auto"/>
              <w:jc w:val="center"/>
              <w:rPr>
                <w:rFonts w:ascii="Times New Roman" w:hAnsi="Times New Roman"/>
                <w:sz w:val="16"/>
                <w:szCs w:val="24"/>
              </w:rPr>
            </w:pPr>
            <w:r w:rsidRPr="00D126B7">
              <w:rPr>
                <w:rFonts w:ascii="Times New Roman" w:hAnsi="Times New Roman"/>
                <w:sz w:val="16"/>
                <w:szCs w:val="24"/>
              </w:rPr>
              <w:t>0.523</w:t>
            </w:r>
          </w:p>
        </w:tc>
      </w:tr>
    </w:tbl>
    <w:p w:rsidR="00981E01" w:rsidRDefault="00981E01">
      <w:pPr>
        <w:rPr>
          <w:rFonts w:ascii="Times New Roman" w:hAnsi="Times New Roman" w:cs="Times New Roman"/>
          <w:b/>
          <w:sz w:val="20"/>
          <w:szCs w:val="16"/>
        </w:rPr>
      </w:pPr>
    </w:p>
    <w:tbl>
      <w:tblPr>
        <w:tblW w:w="12528" w:type="dxa"/>
        <w:jc w:val="center"/>
        <w:tblLayout w:type="fixed"/>
        <w:tblCellMar>
          <w:left w:w="75" w:type="dxa"/>
          <w:right w:w="75" w:type="dxa"/>
        </w:tblCellMar>
        <w:tblLook w:val="0000" w:firstRow="0" w:lastRow="0" w:firstColumn="0" w:lastColumn="0" w:noHBand="0" w:noVBand="0"/>
      </w:tblPr>
      <w:tblGrid>
        <w:gridCol w:w="1440"/>
        <w:gridCol w:w="1008"/>
        <w:gridCol w:w="1008"/>
        <w:gridCol w:w="1008"/>
        <w:gridCol w:w="1008"/>
        <w:gridCol w:w="1008"/>
        <w:gridCol w:w="1008"/>
        <w:gridCol w:w="1008"/>
        <w:gridCol w:w="1008"/>
        <w:gridCol w:w="1008"/>
        <w:gridCol w:w="1008"/>
        <w:gridCol w:w="1008"/>
      </w:tblGrid>
      <w:tr w:rsidR="00535E57" w:rsidRPr="00552592" w:rsidTr="000928AC">
        <w:trPr>
          <w:jc w:val="center"/>
        </w:trPr>
        <w:tc>
          <w:tcPr>
            <w:tcW w:w="12528" w:type="dxa"/>
            <w:gridSpan w:val="12"/>
            <w:tcBorders>
              <w:top w:val="double" w:sz="4" w:space="0" w:color="auto"/>
              <w:left w:val="nil"/>
              <w:bottom w:val="nil"/>
              <w:right w:val="nil"/>
            </w:tcBorders>
          </w:tcPr>
          <w:p w:rsidR="00535E57" w:rsidRPr="00535E57" w:rsidRDefault="005A5576" w:rsidP="005848B4">
            <w:pPr>
              <w:widowControl w:val="0"/>
              <w:autoSpaceDE w:val="0"/>
              <w:autoSpaceDN w:val="0"/>
              <w:adjustRightInd w:val="0"/>
              <w:spacing w:after="0" w:line="240" w:lineRule="auto"/>
              <w:jc w:val="center"/>
              <w:rPr>
                <w:rFonts w:ascii="Times New Roman" w:hAnsi="Times New Roman" w:cs="Times New Roman"/>
                <w:sz w:val="18"/>
                <w:szCs w:val="16"/>
              </w:rPr>
            </w:pPr>
            <w:r>
              <w:rPr>
                <w:rFonts w:ascii="Times New Roman" w:hAnsi="Times New Roman" w:cs="Times New Roman"/>
                <w:sz w:val="18"/>
                <w:szCs w:val="16"/>
              </w:rPr>
              <w:t xml:space="preserve">Panel B: </w:t>
            </w:r>
            <w:r w:rsidR="005848B4">
              <w:rPr>
                <w:rFonts w:ascii="Times New Roman" w:hAnsi="Times New Roman" w:cs="Times New Roman"/>
                <w:sz w:val="18"/>
                <w:szCs w:val="16"/>
              </w:rPr>
              <w:t xml:space="preserve">Dependent Variable: </w:t>
            </w:r>
            <w:r w:rsidR="00535E57" w:rsidRPr="00535E57">
              <w:rPr>
                <w:rFonts w:ascii="Times New Roman" w:hAnsi="Times New Roman" w:cs="Times New Roman"/>
                <w:sz w:val="18"/>
                <w:szCs w:val="16"/>
              </w:rPr>
              <w:t xml:space="preserve">Industry-adjusted </w:t>
            </w:r>
            <w:r w:rsidR="005848B4">
              <w:rPr>
                <w:rFonts w:ascii="Times New Roman" w:hAnsi="Times New Roman" w:cs="Times New Roman"/>
                <w:sz w:val="18"/>
                <w:szCs w:val="16"/>
              </w:rPr>
              <w:t>CapEx</w:t>
            </w:r>
            <w:r w:rsidR="00535E57" w:rsidRPr="00535E57">
              <w:rPr>
                <w:rFonts w:ascii="Times New Roman" w:hAnsi="Times New Roman" w:cs="Times New Roman"/>
                <w:sz w:val="18"/>
                <w:szCs w:val="16"/>
              </w:rPr>
              <w:t xml:space="preserve"> – </w:t>
            </w:r>
            <w:r w:rsidR="00535E57">
              <w:rPr>
                <w:rFonts w:ascii="Times New Roman" w:hAnsi="Times New Roman" w:cs="Times New Roman"/>
                <w:sz w:val="18"/>
                <w:szCs w:val="16"/>
              </w:rPr>
              <w:t>non-US</w:t>
            </w:r>
            <w:r w:rsidR="00535E57" w:rsidRPr="00535E57">
              <w:rPr>
                <w:rFonts w:ascii="Times New Roman" w:hAnsi="Times New Roman" w:cs="Times New Roman"/>
                <w:sz w:val="18"/>
                <w:szCs w:val="16"/>
              </w:rPr>
              <w:t xml:space="preserve"> S</w:t>
            </w:r>
            <w:r w:rsidR="00535E57">
              <w:rPr>
                <w:rFonts w:ascii="Times New Roman" w:hAnsi="Times New Roman" w:cs="Times New Roman"/>
                <w:sz w:val="18"/>
                <w:szCs w:val="16"/>
              </w:rPr>
              <w:t>ubs</w:t>
            </w:r>
            <w:r w:rsidR="00535E57" w:rsidRPr="00535E57">
              <w:rPr>
                <w:rFonts w:ascii="Times New Roman" w:hAnsi="Times New Roman" w:cs="Times New Roman"/>
                <w:sz w:val="18"/>
                <w:szCs w:val="16"/>
              </w:rPr>
              <w:t>ample</w:t>
            </w:r>
          </w:p>
        </w:tc>
      </w:tr>
      <w:tr w:rsidR="000928AC" w:rsidRPr="00552592" w:rsidTr="000928AC">
        <w:trPr>
          <w:trHeight w:val="336"/>
          <w:jc w:val="center"/>
        </w:trPr>
        <w:tc>
          <w:tcPr>
            <w:tcW w:w="1440" w:type="dxa"/>
            <w:tcBorders>
              <w:top w:val="single" w:sz="6" w:space="0" w:color="auto"/>
              <w:left w:val="nil"/>
              <w:bottom w:val="nil"/>
              <w:right w:val="nil"/>
            </w:tcBorders>
          </w:tcPr>
          <w:p w:rsidR="000928AC" w:rsidRPr="00552592" w:rsidRDefault="000928AC" w:rsidP="00EF1206">
            <w:pPr>
              <w:widowControl w:val="0"/>
              <w:autoSpaceDE w:val="0"/>
              <w:autoSpaceDN w:val="0"/>
              <w:adjustRightInd w:val="0"/>
              <w:spacing w:after="0" w:line="240" w:lineRule="auto"/>
              <w:rPr>
                <w:rFonts w:ascii="Times New Roman" w:hAnsi="Times New Roman" w:cs="Times New Roman"/>
                <w:sz w:val="16"/>
                <w:szCs w:val="16"/>
              </w:rPr>
            </w:pPr>
          </w:p>
        </w:tc>
        <w:tc>
          <w:tcPr>
            <w:tcW w:w="11088" w:type="dxa"/>
            <w:gridSpan w:val="11"/>
            <w:tcBorders>
              <w:top w:val="single" w:sz="6" w:space="0" w:color="auto"/>
              <w:left w:val="nil"/>
              <w:bottom w:val="nil"/>
              <w:right w:val="nil"/>
            </w:tcBorders>
            <w:vAlign w:val="center"/>
          </w:tcPr>
          <w:p w:rsidR="000928AC" w:rsidRPr="000277B2" w:rsidRDefault="000928AC" w:rsidP="00355322">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8"/>
                <w:szCs w:val="16"/>
              </w:rPr>
              <w:t>Country Characteristics (COUNTRY)</w:t>
            </w:r>
          </w:p>
        </w:tc>
      </w:tr>
      <w:tr w:rsidR="00535E57" w:rsidRPr="00552592" w:rsidTr="00535E57">
        <w:trPr>
          <w:jc w:val="center"/>
        </w:trPr>
        <w:tc>
          <w:tcPr>
            <w:tcW w:w="1440" w:type="dxa"/>
            <w:tcBorders>
              <w:top w:val="nil"/>
              <w:left w:val="nil"/>
              <w:bottom w:val="single" w:sz="6" w:space="0" w:color="auto"/>
              <w:right w:val="nil"/>
            </w:tcBorders>
          </w:tcPr>
          <w:p w:rsidR="00535E57" w:rsidRPr="00552592" w:rsidRDefault="00050F48" w:rsidP="00EF1206">
            <w:pPr>
              <w:widowControl w:val="0"/>
              <w:autoSpaceDE w:val="0"/>
              <w:autoSpaceDN w:val="0"/>
              <w:adjustRightInd w:val="0"/>
              <w:spacing w:after="0" w:line="240" w:lineRule="auto"/>
              <w:rPr>
                <w:rFonts w:ascii="Times New Roman" w:hAnsi="Times New Roman" w:cs="Times New Roman"/>
                <w:sz w:val="16"/>
                <w:szCs w:val="16"/>
              </w:rPr>
            </w:pPr>
            <w:r w:rsidRPr="00050F48">
              <w:rPr>
                <w:rFonts w:ascii="Times New Roman" w:hAnsi="Times New Roman" w:cs="Times New Roman"/>
                <w:sz w:val="18"/>
                <w:szCs w:val="16"/>
              </w:rPr>
              <w:t>Variables</w:t>
            </w:r>
          </w:p>
        </w:tc>
        <w:tc>
          <w:tcPr>
            <w:tcW w:w="1008" w:type="dxa"/>
            <w:tcBorders>
              <w:top w:val="nil"/>
              <w:left w:val="nil"/>
              <w:bottom w:val="single" w:sz="6" w:space="0" w:color="auto"/>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AD</w:t>
            </w:r>
          </w:p>
        </w:tc>
        <w:tc>
          <w:tcPr>
            <w:tcW w:w="1008" w:type="dxa"/>
            <w:tcBorders>
              <w:top w:val="nil"/>
              <w:left w:val="nil"/>
              <w:bottom w:val="single" w:sz="6" w:space="0" w:color="auto"/>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AS</w:t>
            </w:r>
          </w:p>
        </w:tc>
        <w:tc>
          <w:tcPr>
            <w:tcW w:w="1008" w:type="dxa"/>
            <w:tcBorders>
              <w:top w:val="nil"/>
              <w:left w:val="nil"/>
              <w:bottom w:val="single" w:sz="6" w:space="0" w:color="auto"/>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DISC</w:t>
            </w:r>
          </w:p>
        </w:tc>
        <w:tc>
          <w:tcPr>
            <w:tcW w:w="1008" w:type="dxa"/>
            <w:tcBorders>
              <w:top w:val="nil"/>
              <w:left w:val="nil"/>
              <w:bottom w:val="single" w:sz="6" w:space="0" w:color="auto"/>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ACCT</w:t>
            </w:r>
          </w:p>
        </w:tc>
        <w:tc>
          <w:tcPr>
            <w:tcW w:w="1008" w:type="dxa"/>
            <w:tcBorders>
              <w:top w:val="nil"/>
              <w:left w:val="nil"/>
              <w:bottom w:val="single" w:sz="6" w:space="0" w:color="auto"/>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EM</w:t>
            </w:r>
          </w:p>
        </w:tc>
        <w:tc>
          <w:tcPr>
            <w:tcW w:w="1008" w:type="dxa"/>
            <w:tcBorders>
              <w:top w:val="nil"/>
              <w:left w:val="nil"/>
              <w:bottom w:val="single" w:sz="6" w:space="0" w:color="auto"/>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UK</w:t>
            </w:r>
          </w:p>
        </w:tc>
        <w:tc>
          <w:tcPr>
            <w:tcW w:w="1008" w:type="dxa"/>
            <w:tcBorders>
              <w:top w:val="nil"/>
              <w:left w:val="nil"/>
              <w:bottom w:val="single" w:sz="6" w:space="0" w:color="auto"/>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RULE</w:t>
            </w:r>
          </w:p>
        </w:tc>
        <w:tc>
          <w:tcPr>
            <w:tcW w:w="1008" w:type="dxa"/>
            <w:tcBorders>
              <w:top w:val="nil"/>
              <w:left w:val="nil"/>
              <w:bottom w:val="single" w:sz="6" w:space="0" w:color="auto"/>
              <w:right w:val="nil"/>
            </w:tcBorders>
          </w:tcPr>
          <w:p w:rsidR="00535E57" w:rsidRPr="004E3829"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EQUITY</w:t>
            </w:r>
          </w:p>
        </w:tc>
        <w:tc>
          <w:tcPr>
            <w:tcW w:w="1008" w:type="dxa"/>
            <w:tcBorders>
              <w:top w:val="nil"/>
              <w:left w:val="nil"/>
              <w:bottom w:val="single" w:sz="6" w:space="0" w:color="auto"/>
              <w:right w:val="nil"/>
            </w:tcBorders>
          </w:tcPr>
          <w:p w:rsidR="00535E57" w:rsidRPr="004E3829"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CREDIT</w:t>
            </w:r>
          </w:p>
        </w:tc>
        <w:tc>
          <w:tcPr>
            <w:tcW w:w="1008" w:type="dxa"/>
            <w:tcBorders>
              <w:top w:val="nil"/>
              <w:left w:val="nil"/>
              <w:bottom w:val="single" w:sz="6" w:space="0" w:color="auto"/>
              <w:right w:val="nil"/>
            </w:tcBorders>
          </w:tcPr>
          <w:p w:rsidR="00535E57" w:rsidRPr="004E3829"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FD</w:t>
            </w:r>
          </w:p>
        </w:tc>
        <w:tc>
          <w:tcPr>
            <w:tcW w:w="1008" w:type="dxa"/>
            <w:tcBorders>
              <w:top w:val="nil"/>
              <w:left w:val="nil"/>
              <w:bottom w:val="single" w:sz="6" w:space="0" w:color="auto"/>
              <w:right w:val="nil"/>
            </w:tcBorders>
          </w:tcPr>
          <w:p w:rsidR="00535E57" w:rsidRPr="004E3829"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IPO</w:t>
            </w:r>
          </w:p>
        </w:tc>
      </w:tr>
      <w:tr w:rsidR="00535E57" w:rsidRPr="00552592" w:rsidTr="00535E57">
        <w:trPr>
          <w:jc w:val="center"/>
        </w:trPr>
        <w:tc>
          <w:tcPr>
            <w:tcW w:w="1440"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r>
      <w:tr w:rsidR="0015717F" w:rsidRPr="00552592" w:rsidTr="00535E57">
        <w:trPr>
          <w:jc w:val="center"/>
        </w:trPr>
        <w:tc>
          <w:tcPr>
            <w:tcW w:w="1440" w:type="dxa"/>
            <w:tcBorders>
              <w:top w:val="nil"/>
              <w:left w:val="nil"/>
              <w:bottom w:val="nil"/>
              <w:right w:val="nil"/>
            </w:tcBorders>
          </w:tcPr>
          <w:p w:rsidR="0015717F" w:rsidRPr="000277B2" w:rsidRDefault="0015717F" w:rsidP="00552592">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COUNTRY</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0.0256**</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-0.156</w:t>
            </w:r>
          </w:p>
        </w:tc>
        <w:tc>
          <w:tcPr>
            <w:tcW w:w="1008" w:type="dxa"/>
            <w:tcBorders>
              <w:top w:val="nil"/>
              <w:left w:val="nil"/>
              <w:bottom w:val="nil"/>
              <w:right w:val="nil"/>
            </w:tcBorders>
          </w:tcPr>
          <w:p w:rsidR="0015717F" w:rsidRPr="001F7F45" w:rsidRDefault="0015717F"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0.0004**</w:t>
            </w:r>
          </w:p>
        </w:tc>
        <w:tc>
          <w:tcPr>
            <w:tcW w:w="1008" w:type="dxa"/>
            <w:tcBorders>
              <w:top w:val="nil"/>
              <w:left w:val="nil"/>
              <w:bottom w:val="nil"/>
              <w:right w:val="nil"/>
            </w:tcBorders>
          </w:tcPr>
          <w:p w:rsidR="0015717F" w:rsidRPr="001F7F45" w:rsidRDefault="0015717F"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0.0021***</w:t>
            </w:r>
          </w:p>
        </w:tc>
        <w:tc>
          <w:tcPr>
            <w:tcW w:w="1008" w:type="dxa"/>
            <w:tcBorders>
              <w:top w:val="nil"/>
              <w:left w:val="nil"/>
              <w:bottom w:val="nil"/>
              <w:right w:val="nil"/>
            </w:tcBorders>
          </w:tcPr>
          <w:p w:rsidR="0015717F" w:rsidRPr="001F7F45" w:rsidRDefault="0015717F"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0.000</w:t>
            </w:r>
            <w:r w:rsidR="003F7D8D">
              <w:rPr>
                <w:rFonts w:ascii="Times New Roman" w:hAnsi="Times New Roman" w:cs="Times New Roman"/>
                <w:sz w:val="16"/>
                <w:szCs w:val="16"/>
              </w:rPr>
              <w:t>6</w:t>
            </w:r>
            <w:r w:rsidRPr="001F7F45">
              <w:rPr>
                <w:rFonts w:ascii="Times New Roman" w:hAnsi="Times New Roman" w:cs="Times New Roman"/>
                <w:sz w:val="16"/>
                <w:szCs w:val="16"/>
              </w:rPr>
              <w:t>***</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w:t>
            </w:r>
          </w:p>
        </w:tc>
      </w:tr>
      <w:tr w:rsidR="0015717F" w:rsidRPr="00552592" w:rsidTr="00535E57">
        <w:trPr>
          <w:jc w:val="center"/>
        </w:trPr>
        <w:tc>
          <w:tcPr>
            <w:tcW w:w="1440" w:type="dxa"/>
            <w:tcBorders>
              <w:top w:val="nil"/>
              <w:left w:val="nil"/>
              <w:bottom w:val="nil"/>
              <w:right w:val="nil"/>
            </w:tcBorders>
          </w:tcPr>
          <w:p w:rsidR="0015717F" w:rsidRPr="000277B2" w:rsidRDefault="0015717F" w:rsidP="00552592">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(0.0110)</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(0.158)</w:t>
            </w:r>
          </w:p>
        </w:tc>
        <w:tc>
          <w:tcPr>
            <w:tcW w:w="1008" w:type="dxa"/>
            <w:tcBorders>
              <w:top w:val="nil"/>
              <w:left w:val="nil"/>
              <w:bottom w:val="nil"/>
              <w:right w:val="nil"/>
            </w:tcBorders>
          </w:tcPr>
          <w:p w:rsidR="0015717F" w:rsidRPr="001F7F45" w:rsidRDefault="0015717F"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(0.000</w:t>
            </w:r>
            <w:r w:rsidR="003F7D8D">
              <w:rPr>
                <w:rFonts w:ascii="Times New Roman" w:hAnsi="Times New Roman" w:cs="Times New Roman"/>
                <w:sz w:val="16"/>
                <w:szCs w:val="16"/>
              </w:rPr>
              <w:t>2</w:t>
            </w:r>
            <w:r w:rsidRPr="001F7F45">
              <w:rPr>
                <w:rFonts w:ascii="Times New Roman" w:hAnsi="Times New Roman" w:cs="Times New Roman"/>
                <w:sz w:val="16"/>
                <w:szCs w:val="16"/>
              </w:rPr>
              <w:t>)</w:t>
            </w:r>
          </w:p>
        </w:tc>
        <w:tc>
          <w:tcPr>
            <w:tcW w:w="1008" w:type="dxa"/>
            <w:tcBorders>
              <w:top w:val="nil"/>
              <w:left w:val="nil"/>
              <w:bottom w:val="nil"/>
              <w:right w:val="nil"/>
            </w:tcBorders>
          </w:tcPr>
          <w:p w:rsidR="0015717F" w:rsidRPr="001F7F45" w:rsidRDefault="0015717F"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(0.0006)</w:t>
            </w:r>
          </w:p>
        </w:tc>
        <w:tc>
          <w:tcPr>
            <w:tcW w:w="1008" w:type="dxa"/>
            <w:tcBorders>
              <w:top w:val="nil"/>
              <w:left w:val="nil"/>
              <w:bottom w:val="nil"/>
              <w:right w:val="nil"/>
            </w:tcBorders>
          </w:tcPr>
          <w:p w:rsidR="0015717F" w:rsidRPr="001F7F45" w:rsidRDefault="0015717F"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(0.0002)</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p>
        </w:tc>
      </w:tr>
      <w:tr w:rsidR="0015717F" w:rsidRPr="00552592" w:rsidTr="0015717F">
        <w:trPr>
          <w:jc w:val="center"/>
        </w:trPr>
        <w:tc>
          <w:tcPr>
            <w:tcW w:w="1440" w:type="dxa"/>
            <w:tcBorders>
              <w:top w:val="nil"/>
              <w:left w:val="nil"/>
              <w:bottom w:val="nil"/>
              <w:right w:val="nil"/>
            </w:tcBorders>
          </w:tcPr>
          <w:p w:rsidR="0015717F" w:rsidRPr="000277B2" w:rsidRDefault="0015717F" w:rsidP="003E5E2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COUNTRY</w:t>
            </w:r>
            <w:r w:rsidRPr="000277B2">
              <w:rPr>
                <w:rFonts w:ascii="Times New Roman" w:hAnsi="Times New Roman" w:cs="Times New Roman"/>
                <w:sz w:val="16"/>
                <w:szCs w:val="16"/>
              </w:rPr>
              <w:t>×</w:t>
            </w:r>
            <w:r>
              <w:rPr>
                <w:rFonts w:ascii="Times New Roman" w:hAnsi="Times New Roman" w:cs="Times New Roman"/>
                <w:sz w:val="16"/>
                <w:szCs w:val="16"/>
              </w:rPr>
              <w:t>Q</w:t>
            </w:r>
            <w:r w:rsidRPr="000277B2">
              <w:rPr>
                <w:rFonts w:ascii="Times New Roman" w:hAnsi="Times New Roman" w:cs="Times New Roman"/>
                <w:sz w:val="16"/>
                <w:szCs w:val="16"/>
              </w:rPr>
              <w:t>4</w:t>
            </w:r>
            <w:r>
              <w:rPr>
                <w:rFonts w:ascii="Times New Roman" w:hAnsi="Times New Roman" w:cs="Times New Roman"/>
                <w:sz w:val="16"/>
                <w:szCs w:val="16"/>
              </w:rPr>
              <w:t xml:space="preserve"> Dummy</w:t>
            </w:r>
          </w:p>
        </w:tc>
        <w:tc>
          <w:tcPr>
            <w:tcW w:w="1008" w:type="dxa"/>
            <w:tcBorders>
              <w:top w:val="nil"/>
              <w:left w:val="nil"/>
              <w:bottom w:val="nil"/>
              <w:right w:val="nil"/>
            </w:tcBorders>
            <w:vAlign w:val="center"/>
          </w:tcPr>
          <w:p w:rsidR="0015717F" w:rsidRPr="001F7F45" w:rsidRDefault="0015717F" w:rsidP="0015717F">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-0.0426**</w:t>
            </w:r>
          </w:p>
        </w:tc>
        <w:tc>
          <w:tcPr>
            <w:tcW w:w="1008" w:type="dxa"/>
            <w:tcBorders>
              <w:top w:val="nil"/>
              <w:left w:val="nil"/>
              <w:bottom w:val="nil"/>
              <w:right w:val="nil"/>
            </w:tcBorders>
            <w:vAlign w:val="center"/>
          </w:tcPr>
          <w:p w:rsidR="0015717F" w:rsidRPr="001F7F45" w:rsidRDefault="0015717F" w:rsidP="0015717F">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-0.250**</w:t>
            </w:r>
          </w:p>
        </w:tc>
        <w:tc>
          <w:tcPr>
            <w:tcW w:w="1008" w:type="dxa"/>
            <w:tcBorders>
              <w:top w:val="nil"/>
              <w:left w:val="nil"/>
              <w:bottom w:val="nil"/>
              <w:right w:val="nil"/>
            </w:tcBorders>
            <w:vAlign w:val="center"/>
          </w:tcPr>
          <w:p w:rsidR="0015717F" w:rsidRPr="001F7F45" w:rsidRDefault="0015717F" w:rsidP="0015717F">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-0.0215*</w:t>
            </w:r>
          </w:p>
        </w:tc>
        <w:tc>
          <w:tcPr>
            <w:tcW w:w="1008" w:type="dxa"/>
            <w:tcBorders>
              <w:top w:val="nil"/>
              <w:left w:val="nil"/>
              <w:bottom w:val="nil"/>
              <w:right w:val="nil"/>
            </w:tcBorders>
            <w:vAlign w:val="center"/>
          </w:tcPr>
          <w:p w:rsidR="0015717F" w:rsidRPr="001F7F45" w:rsidRDefault="0015717F"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-0.007</w:t>
            </w:r>
            <w:r w:rsidR="003F7D8D">
              <w:rPr>
                <w:rFonts w:ascii="Times New Roman" w:hAnsi="Times New Roman" w:cs="Times New Roman"/>
                <w:sz w:val="16"/>
                <w:szCs w:val="16"/>
              </w:rPr>
              <w:t>5</w:t>
            </w:r>
            <w:r w:rsidRPr="001F7F45">
              <w:rPr>
                <w:rFonts w:ascii="Times New Roman" w:hAnsi="Times New Roman" w:cs="Times New Roman"/>
                <w:sz w:val="16"/>
                <w:szCs w:val="16"/>
              </w:rPr>
              <w:t>***</w:t>
            </w:r>
          </w:p>
        </w:tc>
        <w:tc>
          <w:tcPr>
            <w:tcW w:w="1008" w:type="dxa"/>
            <w:tcBorders>
              <w:top w:val="nil"/>
              <w:left w:val="nil"/>
              <w:bottom w:val="nil"/>
              <w:right w:val="nil"/>
            </w:tcBorders>
            <w:vAlign w:val="center"/>
          </w:tcPr>
          <w:p w:rsidR="0015717F" w:rsidRPr="001F7F45" w:rsidRDefault="0015717F" w:rsidP="0015717F">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0.0108***</w:t>
            </w:r>
          </w:p>
        </w:tc>
        <w:tc>
          <w:tcPr>
            <w:tcW w:w="1008" w:type="dxa"/>
            <w:tcBorders>
              <w:top w:val="nil"/>
              <w:left w:val="nil"/>
              <w:bottom w:val="nil"/>
              <w:right w:val="nil"/>
            </w:tcBorders>
            <w:vAlign w:val="center"/>
          </w:tcPr>
          <w:p w:rsidR="0015717F" w:rsidRPr="001F7F45" w:rsidRDefault="0015717F" w:rsidP="0015717F">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-0.121*</w:t>
            </w:r>
          </w:p>
        </w:tc>
        <w:tc>
          <w:tcPr>
            <w:tcW w:w="1008" w:type="dxa"/>
            <w:tcBorders>
              <w:top w:val="nil"/>
              <w:left w:val="nil"/>
              <w:bottom w:val="nil"/>
              <w:right w:val="nil"/>
            </w:tcBorders>
            <w:vAlign w:val="center"/>
          </w:tcPr>
          <w:p w:rsidR="0015717F" w:rsidRPr="001F7F45" w:rsidRDefault="0015717F" w:rsidP="0015717F">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-0.131***</w:t>
            </w:r>
          </w:p>
        </w:tc>
        <w:tc>
          <w:tcPr>
            <w:tcW w:w="1008" w:type="dxa"/>
            <w:tcBorders>
              <w:top w:val="nil"/>
              <w:left w:val="nil"/>
              <w:bottom w:val="nil"/>
              <w:right w:val="nil"/>
            </w:tcBorders>
            <w:vAlign w:val="center"/>
          </w:tcPr>
          <w:p w:rsidR="0015717F" w:rsidRPr="001F7F45" w:rsidRDefault="0015717F"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-0.0003**</w:t>
            </w:r>
          </w:p>
        </w:tc>
        <w:tc>
          <w:tcPr>
            <w:tcW w:w="1008" w:type="dxa"/>
            <w:tcBorders>
              <w:top w:val="nil"/>
              <w:left w:val="nil"/>
              <w:bottom w:val="nil"/>
              <w:right w:val="nil"/>
            </w:tcBorders>
            <w:vAlign w:val="center"/>
          </w:tcPr>
          <w:p w:rsidR="0015717F" w:rsidRPr="001F7F45" w:rsidRDefault="0015717F"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-0.002</w:t>
            </w:r>
            <w:r w:rsidR="003F7D8D">
              <w:rPr>
                <w:rFonts w:ascii="Times New Roman" w:hAnsi="Times New Roman" w:cs="Times New Roman"/>
                <w:sz w:val="16"/>
                <w:szCs w:val="16"/>
              </w:rPr>
              <w:t>6</w:t>
            </w:r>
            <w:r w:rsidRPr="001F7F45">
              <w:rPr>
                <w:rFonts w:ascii="Times New Roman" w:hAnsi="Times New Roman" w:cs="Times New Roman"/>
                <w:sz w:val="16"/>
                <w:szCs w:val="16"/>
              </w:rPr>
              <w:t>***</w:t>
            </w:r>
          </w:p>
        </w:tc>
        <w:tc>
          <w:tcPr>
            <w:tcW w:w="1008" w:type="dxa"/>
            <w:tcBorders>
              <w:top w:val="nil"/>
              <w:left w:val="nil"/>
              <w:bottom w:val="nil"/>
              <w:right w:val="nil"/>
            </w:tcBorders>
            <w:vAlign w:val="center"/>
          </w:tcPr>
          <w:p w:rsidR="0015717F" w:rsidRPr="001F7F45" w:rsidRDefault="0015717F"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-0.000</w:t>
            </w:r>
            <w:r w:rsidR="003F7D8D">
              <w:rPr>
                <w:rFonts w:ascii="Times New Roman" w:hAnsi="Times New Roman" w:cs="Times New Roman"/>
                <w:sz w:val="16"/>
                <w:szCs w:val="16"/>
              </w:rPr>
              <w:t>5</w:t>
            </w:r>
            <w:r w:rsidRPr="001F7F45">
              <w:rPr>
                <w:rFonts w:ascii="Times New Roman" w:hAnsi="Times New Roman" w:cs="Times New Roman"/>
                <w:sz w:val="16"/>
                <w:szCs w:val="16"/>
              </w:rPr>
              <w:t>**</w:t>
            </w:r>
          </w:p>
        </w:tc>
        <w:tc>
          <w:tcPr>
            <w:tcW w:w="1008" w:type="dxa"/>
            <w:tcBorders>
              <w:top w:val="nil"/>
              <w:left w:val="nil"/>
              <w:bottom w:val="nil"/>
              <w:right w:val="nil"/>
            </w:tcBorders>
            <w:vAlign w:val="center"/>
          </w:tcPr>
          <w:p w:rsidR="0015717F" w:rsidRPr="001F7F45" w:rsidRDefault="0015717F" w:rsidP="0015717F">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-0.0188**</w:t>
            </w:r>
          </w:p>
        </w:tc>
      </w:tr>
      <w:tr w:rsidR="0015717F" w:rsidRPr="00552592" w:rsidTr="00535E57">
        <w:trPr>
          <w:trHeight w:val="324"/>
          <w:jc w:val="center"/>
        </w:trPr>
        <w:tc>
          <w:tcPr>
            <w:tcW w:w="1440" w:type="dxa"/>
            <w:tcBorders>
              <w:top w:val="nil"/>
              <w:left w:val="nil"/>
              <w:bottom w:val="nil"/>
              <w:right w:val="nil"/>
            </w:tcBorders>
          </w:tcPr>
          <w:p w:rsidR="0015717F" w:rsidRPr="00552592" w:rsidRDefault="0015717F" w:rsidP="00EF1206">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(0.0180)</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(0.118)</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(0.0124)</w:t>
            </w:r>
          </w:p>
        </w:tc>
        <w:tc>
          <w:tcPr>
            <w:tcW w:w="1008" w:type="dxa"/>
            <w:tcBorders>
              <w:top w:val="nil"/>
              <w:left w:val="nil"/>
              <w:bottom w:val="nil"/>
              <w:right w:val="nil"/>
            </w:tcBorders>
          </w:tcPr>
          <w:p w:rsidR="0015717F" w:rsidRPr="001F7F45" w:rsidRDefault="0015717F"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(0.0027)</w:t>
            </w:r>
          </w:p>
        </w:tc>
        <w:tc>
          <w:tcPr>
            <w:tcW w:w="1008" w:type="dxa"/>
            <w:tcBorders>
              <w:top w:val="nil"/>
              <w:left w:val="nil"/>
              <w:bottom w:val="nil"/>
              <w:right w:val="nil"/>
            </w:tcBorders>
          </w:tcPr>
          <w:p w:rsidR="0015717F" w:rsidRPr="001F7F45" w:rsidRDefault="0015717F"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(0.003</w:t>
            </w:r>
            <w:r w:rsidR="003F7D8D">
              <w:rPr>
                <w:rFonts w:ascii="Times New Roman" w:hAnsi="Times New Roman" w:cs="Times New Roman"/>
                <w:sz w:val="16"/>
                <w:szCs w:val="16"/>
              </w:rPr>
              <w:t>2</w:t>
            </w:r>
            <w:r w:rsidRPr="001F7F45">
              <w:rPr>
                <w:rFonts w:ascii="Times New Roman" w:hAnsi="Times New Roman" w:cs="Times New Roman"/>
                <w:sz w:val="16"/>
                <w:szCs w:val="16"/>
              </w:rPr>
              <w:t>)</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(0.0680)</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(0.0298)</w:t>
            </w:r>
          </w:p>
        </w:tc>
        <w:tc>
          <w:tcPr>
            <w:tcW w:w="1008" w:type="dxa"/>
            <w:tcBorders>
              <w:top w:val="nil"/>
              <w:left w:val="nil"/>
              <w:bottom w:val="nil"/>
              <w:right w:val="nil"/>
            </w:tcBorders>
          </w:tcPr>
          <w:p w:rsidR="0015717F" w:rsidRPr="001F7F45" w:rsidRDefault="0015717F"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(0.0001)</w:t>
            </w:r>
          </w:p>
        </w:tc>
        <w:tc>
          <w:tcPr>
            <w:tcW w:w="1008" w:type="dxa"/>
            <w:tcBorders>
              <w:top w:val="nil"/>
              <w:left w:val="nil"/>
              <w:bottom w:val="nil"/>
              <w:right w:val="nil"/>
            </w:tcBorders>
          </w:tcPr>
          <w:p w:rsidR="0015717F" w:rsidRPr="001F7F45" w:rsidRDefault="0015717F"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(0.000</w:t>
            </w:r>
            <w:r w:rsidR="003F7D8D">
              <w:rPr>
                <w:rFonts w:ascii="Times New Roman" w:hAnsi="Times New Roman" w:cs="Times New Roman"/>
                <w:sz w:val="16"/>
                <w:szCs w:val="16"/>
              </w:rPr>
              <w:t>4</w:t>
            </w:r>
            <w:r w:rsidRPr="001F7F45">
              <w:rPr>
                <w:rFonts w:ascii="Times New Roman" w:hAnsi="Times New Roman" w:cs="Times New Roman"/>
                <w:sz w:val="16"/>
                <w:szCs w:val="16"/>
              </w:rPr>
              <w:t>)</w:t>
            </w:r>
          </w:p>
        </w:tc>
        <w:tc>
          <w:tcPr>
            <w:tcW w:w="1008" w:type="dxa"/>
            <w:tcBorders>
              <w:top w:val="nil"/>
              <w:left w:val="nil"/>
              <w:bottom w:val="nil"/>
              <w:right w:val="nil"/>
            </w:tcBorders>
          </w:tcPr>
          <w:p w:rsidR="0015717F" w:rsidRPr="001F7F45" w:rsidRDefault="0015717F"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(0.0002)</w:t>
            </w:r>
          </w:p>
        </w:tc>
        <w:tc>
          <w:tcPr>
            <w:tcW w:w="1008" w:type="dxa"/>
            <w:tcBorders>
              <w:top w:val="nil"/>
              <w:left w:val="nil"/>
              <w:bottom w:val="nil"/>
              <w:right w:val="nil"/>
            </w:tcBorders>
          </w:tcPr>
          <w:p w:rsidR="0015717F" w:rsidRPr="001F7F45" w:rsidRDefault="0015717F"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(0.0075)</w:t>
            </w:r>
          </w:p>
        </w:tc>
      </w:tr>
      <w:tr w:rsidR="00535E57" w:rsidRPr="00552592" w:rsidTr="00535E57">
        <w:trPr>
          <w:trHeight w:val="216"/>
          <w:jc w:val="center"/>
        </w:trPr>
        <w:tc>
          <w:tcPr>
            <w:tcW w:w="1440" w:type="dxa"/>
            <w:tcBorders>
              <w:top w:val="nil"/>
              <w:left w:val="nil"/>
              <w:bottom w:val="nil"/>
              <w:right w:val="nil"/>
            </w:tcBorders>
            <w:vAlign w:val="center"/>
          </w:tcPr>
          <w:p w:rsidR="00535E57" w:rsidRPr="000277B2" w:rsidRDefault="00535E57" w:rsidP="00552592">
            <w:pPr>
              <w:spacing w:after="0" w:line="240" w:lineRule="auto"/>
              <w:rPr>
                <w:rFonts w:ascii="Times New Roman" w:eastAsia="Times New Roman" w:hAnsi="Times New Roman" w:cs="Times New Roman"/>
                <w:sz w:val="16"/>
                <w:szCs w:val="16"/>
              </w:rPr>
            </w:pPr>
            <w:r w:rsidRPr="000277B2">
              <w:rPr>
                <w:rFonts w:ascii="Times New Roman" w:eastAsia="Times New Roman" w:hAnsi="Times New Roman" w:cs="Times New Roman"/>
                <w:sz w:val="16"/>
                <w:szCs w:val="16"/>
              </w:rPr>
              <w:t>Firm FE</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r>
      <w:tr w:rsidR="00535E57" w:rsidRPr="00552592" w:rsidTr="00535E57">
        <w:trPr>
          <w:jc w:val="center"/>
        </w:trPr>
        <w:tc>
          <w:tcPr>
            <w:tcW w:w="1440" w:type="dxa"/>
            <w:tcBorders>
              <w:top w:val="nil"/>
              <w:left w:val="nil"/>
              <w:bottom w:val="nil"/>
              <w:right w:val="nil"/>
            </w:tcBorders>
            <w:vAlign w:val="center"/>
          </w:tcPr>
          <w:p w:rsidR="00535E57" w:rsidRPr="000277B2" w:rsidRDefault="00535E57" w:rsidP="00552592">
            <w:pPr>
              <w:spacing w:after="0" w:line="240" w:lineRule="auto"/>
              <w:rPr>
                <w:rFonts w:ascii="Times New Roman" w:eastAsia="Times New Roman" w:hAnsi="Times New Roman" w:cs="Times New Roman"/>
                <w:sz w:val="16"/>
                <w:szCs w:val="16"/>
              </w:rPr>
            </w:pPr>
            <w:r w:rsidRPr="000277B2">
              <w:rPr>
                <w:rFonts w:ascii="Times New Roman" w:eastAsia="Times New Roman" w:hAnsi="Times New Roman" w:cs="Times New Roman"/>
                <w:sz w:val="16"/>
                <w:szCs w:val="16"/>
              </w:rPr>
              <w:t>Industry-Time FE</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535E57" w:rsidRPr="000277B2" w:rsidRDefault="00535E57" w:rsidP="00552592">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r>
      <w:tr w:rsidR="00535E57" w:rsidRPr="00552592" w:rsidTr="00535E57">
        <w:trPr>
          <w:jc w:val="center"/>
        </w:trPr>
        <w:tc>
          <w:tcPr>
            <w:tcW w:w="1440"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355322">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535E57" w:rsidRPr="00552592" w:rsidRDefault="00535E57" w:rsidP="00EF1206">
            <w:pPr>
              <w:widowControl w:val="0"/>
              <w:autoSpaceDE w:val="0"/>
              <w:autoSpaceDN w:val="0"/>
              <w:adjustRightInd w:val="0"/>
              <w:spacing w:after="0" w:line="240" w:lineRule="auto"/>
              <w:jc w:val="center"/>
              <w:rPr>
                <w:rFonts w:ascii="Times New Roman" w:hAnsi="Times New Roman" w:cs="Times New Roman"/>
                <w:sz w:val="16"/>
                <w:szCs w:val="16"/>
              </w:rPr>
            </w:pPr>
          </w:p>
        </w:tc>
      </w:tr>
      <w:tr w:rsidR="0015717F" w:rsidRPr="00552592" w:rsidTr="00535E57">
        <w:trPr>
          <w:jc w:val="center"/>
        </w:trPr>
        <w:tc>
          <w:tcPr>
            <w:tcW w:w="1440" w:type="dxa"/>
            <w:tcBorders>
              <w:top w:val="nil"/>
              <w:left w:val="nil"/>
              <w:bottom w:val="nil"/>
              <w:right w:val="nil"/>
            </w:tcBorders>
          </w:tcPr>
          <w:p w:rsidR="0015717F" w:rsidRPr="00535E57" w:rsidRDefault="0015717F" w:rsidP="00EF1206">
            <w:pPr>
              <w:widowControl w:val="0"/>
              <w:autoSpaceDE w:val="0"/>
              <w:autoSpaceDN w:val="0"/>
              <w:adjustRightInd w:val="0"/>
              <w:spacing w:after="0" w:line="240" w:lineRule="auto"/>
              <w:rPr>
                <w:rFonts w:ascii="Times New Roman" w:hAnsi="Times New Roman" w:cs="Times New Roman"/>
                <w:sz w:val="16"/>
                <w:szCs w:val="16"/>
              </w:rPr>
            </w:pPr>
            <w:r w:rsidRPr="00535E57">
              <w:rPr>
                <w:rFonts w:ascii="Times New Roman" w:hAnsi="Times New Roman" w:cs="Times New Roman"/>
                <w:sz w:val="16"/>
                <w:szCs w:val="16"/>
              </w:rPr>
              <w:t>Observations</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112,764</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117,456</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115,839</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105,509</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98,974</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120,253</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120,253</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101,422</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115,700</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97,052</w:t>
            </w:r>
          </w:p>
        </w:tc>
        <w:tc>
          <w:tcPr>
            <w:tcW w:w="1008" w:type="dxa"/>
            <w:tcBorders>
              <w:top w:val="nil"/>
              <w:left w:val="nil"/>
              <w:bottom w:val="nil"/>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112,764</w:t>
            </w:r>
          </w:p>
        </w:tc>
      </w:tr>
      <w:tr w:rsidR="0015717F" w:rsidRPr="00552592" w:rsidTr="000928AC">
        <w:tblPrEx>
          <w:tblBorders>
            <w:bottom w:val="single" w:sz="6" w:space="0" w:color="auto"/>
          </w:tblBorders>
        </w:tblPrEx>
        <w:trPr>
          <w:jc w:val="center"/>
        </w:trPr>
        <w:tc>
          <w:tcPr>
            <w:tcW w:w="1440" w:type="dxa"/>
            <w:tcBorders>
              <w:top w:val="nil"/>
              <w:left w:val="nil"/>
              <w:bottom w:val="double" w:sz="4" w:space="0" w:color="auto"/>
              <w:right w:val="nil"/>
            </w:tcBorders>
          </w:tcPr>
          <w:p w:rsidR="0015717F" w:rsidRPr="00552592" w:rsidRDefault="0015717F" w:rsidP="00EF1206">
            <w:pPr>
              <w:widowControl w:val="0"/>
              <w:autoSpaceDE w:val="0"/>
              <w:autoSpaceDN w:val="0"/>
              <w:adjustRightInd w:val="0"/>
              <w:spacing w:after="0" w:line="240" w:lineRule="auto"/>
              <w:rPr>
                <w:rFonts w:ascii="Times New Roman" w:hAnsi="Times New Roman" w:cs="Times New Roman"/>
                <w:sz w:val="16"/>
                <w:szCs w:val="16"/>
              </w:rPr>
            </w:pPr>
            <w:r w:rsidRPr="00552592">
              <w:rPr>
                <w:rFonts w:ascii="Times New Roman" w:hAnsi="Times New Roman" w:cs="Times New Roman"/>
                <w:sz w:val="16"/>
                <w:szCs w:val="16"/>
              </w:rPr>
              <w:t>R-squared</w:t>
            </w:r>
          </w:p>
        </w:tc>
        <w:tc>
          <w:tcPr>
            <w:tcW w:w="1008" w:type="dxa"/>
            <w:tcBorders>
              <w:top w:val="nil"/>
              <w:left w:val="nil"/>
              <w:bottom w:val="double" w:sz="4" w:space="0" w:color="auto"/>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0.499</w:t>
            </w:r>
          </w:p>
        </w:tc>
        <w:tc>
          <w:tcPr>
            <w:tcW w:w="1008" w:type="dxa"/>
            <w:tcBorders>
              <w:top w:val="nil"/>
              <w:left w:val="nil"/>
              <w:bottom w:val="double" w:sz="4" w:space="0" w:color="auto"/>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0.495</w:t>
            </w:r>
          </w:p>
        </w:tc>
        <w:tc>
          <w:tcPr>
            <w:tcW w:w="1008" w:type="dxa"/>
            <w:tcBorders>
              <w:top w:val="nil"/>
              <w:left w:val="nil"/>
              <w:bottom w:val="double" w:sz="4" w:space="0" w:color="auto"/>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0.497</w:t>
            </w:r>
          </w:p>
        </w:tc>
        <w:tc>
          <w:tcPr>
            <w:tcW w:w="1008" w:type="dxa"/>
            <w:tcBorders>
              <w:top w:val="nil"/>
              <w:left w:val="nil"/>
              <w:bottom w:val="double" w:sz="4" w:space="0" w:color="auto"/>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0.506</w:t>
            </w:r>
          </w:p>
        </w:tc>
        <w:tc>
          <w:tcPr>
            <w:tcW w:w="1008" w:type="dxa"/>
            <w:tcBorders>
              <w:top w:val="nil"/>
              <w:left w:val="nil"/>
              <w:bottom w:val="double" w:sz="4" w:space="0" w:color="auto"/>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0.510</w:t>
            </w:r>
          </w:p>
        </w:tc>
        <w:tc>
          <w:tcPr>
            <w:tcW w:w="1008" w:type="dxa"/>
            <w:tcBorders>
              <w:top w:val="nil"/>
              <w:left w:val="nil"/>
              <w:bottom w:val="double" w:sz="4" w:space="0" w:color="auto"/>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0.493</w:t>
            </w:r>
          </w:p>
        </w:tc>
        <w:tc>
          <w:tcPr>
            <w:tcW w:w="1008" w:type="dxa"/>
            <w:tcBorders>
              <w:top w:val="nil"/>
              <w:left w:val="nil"/>
              <w:bottom w:val="double" w:sz="4" w:space="0" w:color="auto"/>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0.494</w:t>
            </w:r>
          </w:p>
        </w:tc>
        <w:tc>
          <w:tcPr>
            <w:tcW w:w="1008" w:type="dxa"/>
            <w:tcBorders>
              <w:top w:val="nil"/>
              <w:left w:val="nil"/>
              <w:bottom w:val="double" w:sz="4" w:space="0" w:color="auto"/>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0.502</w:t>
            </w:r>
          </w:p>
        </w:tc>
        <w:tc>
          <w:tcPr>
            <w:tcW w:w="1008" w:type="dxa"/>
            <w:tcBorders>
              <w:top w:val="nil"/>
              <w:left w:val="nil"/>
              <w:bottom w:val="double" w:sz="4" w:space="0" w:color="auto"/>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0.500</w:t>
            </w:r>
          </w:p>
        </w:tc>
        <w:tc>
          <w:tcPr>
            <w:tcW w:w="1008" w:type="dxa"/>
            <w:tcBorders>
              <w:top w:val="nil"/>
              <w:left w:val="nil"/>
              <w:bottom w:val="double" w:sz="4" w:space="0" w:color="auto"/>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0.509</w:t>
            </w:r>
          </w:p>
        </w:tc>
        <w:tc>
          <w:tcPr>
            <w:tcW w:w="1008" w:type="dxa"/>
            <w:tcBorders>
              <w:top w:val="nil"/>
              <w:left w:val="nil"/>
              <w:bottom w:val="double" w:sz="4" w:space="0" w:color="auto"/>
              <w:right w:val="nil"/>
            </w:tcBorders>
          </w:tcPr>
          <w:p w:rsidR="0015717F" w:rsidRPr="001F7F45" w:rsidRDefault="0015717F" w:rsidP="005A07A2">
            <w:pPr>
              <w:widowControl w:val="0"/>
              <w:autoSpaceDE w:val="0"/>
              <w:autoSpaceDN w:val="0"/>
              <w:adjustRightInd w:val="0"/>
              <w:spacing w:after="0" w:line="240" w:lineRule="auto"/>
              <w:jc w:val="center"/>
              <w:rPr>
                <w:rFonts w:ascii="Times New Roman" w:hAnsi="Times New Roman" w:cs="Times New Roman"/>
                <w:sz w:val="16"/>
                <w:szCs w:val="16"/>
              </w:rPr>
            </w:pPr>
            <w:r w:rsidRPr="001F7F45">
              <w:rPr>
                <w:rFonts w:ascii="Times New Roman" w:hAnsi="Times New Roman" w:cs="Times New Roman"/>
                <w:sz w:val="16"/>
                <w:szCs w:val="16"/>
              </w:rPr>
              <w:t>0.499</w:t>
            </w:r>
          </w:p>
        </w:tc>
      </w:tr>
    </w:tbl>
    <w:p w:rsidR="00981E01" w:rsidRDefault="00981E01" w:rsidP="00981E01">
      <w:pPr>
        <w:rPr>
          <w:rFonts w:ascii="Times New Roman" w:hAnsi="Times New Roman" w:cs="Times New Roman"/>
          <w:b/>
          <w:sz w:val="20"/>
        </w:rPr>
      </w:pPr>
      <w:r>
        <w:rPr>
          <w:rFonts w:ascii="Times New Roman" w:hAnsi="Times New Roman" w:cs="Times New Roman"/>
          <w:b/>
          <w:sz w:val="20"/>
        </w:rPr>
        <w:br w:type="page"/>
      </w:r>
    </w:p>
    <w:p w:rsidR="005A5576" w:rsidRPr="00EE1141" w:rsidRDefault="00CC153B" w:rsidP="00CC153B">
      <w:pPr>
        <w:spacing w:after="120" w:line="240" w:lineRule="auto"/>
        <w:rPr>
          <w:rFonts w:ascii="Times New Roman" w:hAnsi="Times New Roman" w:cs="Times New Roman"/>
          <w:b/>
          <w:sz w:val="20"/>
          <w:szCs w:val="16"/>
        </w:rPr>
      </w:pPr>
      <w:r w:rsidRPr="00EE1141">
        <w:rPr>
          <w:rFonts w:ascii="Times New Roman" w:hAnsi="Times New Roman" w:cs="Times New Roman"/>
          <w:b/>
          <w:sz w:val="20"/>
          <w:szCs w:val="16"/>
        </w:rPr>
        <w:lastRenderedPageBreak/>
        <w:t>Table</w:t>
      </w:r>
      <w:r>
        <w:rPr>
          <w:rFonts w:ascii="Times New Roman" w:hAnsi="Times New Roman" w:cs="Times New Roman"/>
          <w:b/>
          <w:sz w:val="20"/>
          <w:szCs w:val="16"/>
        </w:rPr>
        <w:t xml:space="preserve"> 8</w:t>
      </w:r>
      <w:r w:rsidRPr="00EE1141">
        <w:rPr>
          <w:rFonts w:ascii="Times New Roman" w:hAnsi="Times New Roman" w:cs="Times New Roman"/>
          <w:b/>
          <w:sz w:val="20"/>
          <w:szCs w:val="16"/>
        </w:rPr>
        <w:t xml:space="preserve"> </w:t>
      </w:r>
      <w:r w:rsidR="002D0C41">
        <w:rPr>
          <w:rFonts w:ascii="Times New Roman" w:hAnsi="Times New Roman" w:cs="Times New Roman"/>
          <w:b/>
          <w:sz w:val="20"/>
          <w:szCs w:val="16"/>
        </w:rPr>
        <w:t xml:space="preserve">– </w:t>
      </w:r>
      <w:r w:rsidR="005A5576">
        <w:rPr>
          <w:rFonts w:ascii="Times New Roman" w:hAnsi="Times New Roman" w:cs="Times New Roman"/>
          <w:b/>
          <w:sz w:val="20"/>
          <w:szCs w:val="16"/>
        </w:rPr>
        <w:t>Investment-q Sensitivity across Countries</w:t>
      </w:r>
    </w:p>
    <w:p w:rsidR="00CC153B" w:rsidRDefault="00CC153B" w:rsidP="00CC153B">
      <w:pPr>
        <w:spacing w:after="0" w:line="240" w:lineRule="auto"/>
        <w:ind w:firstLine="288"/>
        <w:jc w:val="both"/>
        <w:rPr>
          <w:rFonts w:ascii="Times New Roman" w:hAnsi="Times New Roman" w:cs="Times New Roman"/>
          <w:sz w:val="16"/>
          <w:szCs w:val="16"/>
        </w:rPr>
      </w:pPr>
      <w:r w:rsidRPr="00EE1141">
        <w:rPr>
          <w:rFonts w:ascii="Times New Roman" w:hAnsi="Times New Roman" w:cs="Times New Roman"/>
          <w:sz w:val="16"/>
          <w:szCs w:val="16"/>
        </w:rPr>
        <w:t xml:space="preserve">This table reports the results of regressions of capital expenditure on </w:t>
      </w:r>
      <w:r w:rsidR="005A5576">
        <w:rPr>
          <w:rFonts w:ascii="Times New Roman" w:hAnsi="Times New Roman" w:cs="Times New Roman"/>
          <w:sz w:val="16"/>
          <w:szCs w:val="16"/>
        </w:rPr>
        <w:t>Tobin’s q</w:t>
      </w:r>
      <w:r w:rsidR="005A5576" w:rsidRPr="00EE1141">
        <w:rPr>
          <w:rFonts w:ascii="Times New Roman" w:hAnsi="Times New Roman" w:cs="Times New Roman"/>
          <w:sz w:val="16"/>
          <w:szCs w:val="16"/>
        </w:rPr>
        <w:t xml:space="preserve"> </w:t>
      </w:r>
      <w:r>
        <w:rPr>
          <w:rFonts w:ascii="Times New Roman" w:hAnsi="Times New Roman" w:cs="Times New Roman"/>
          <w:sz w:val="16"/>
          <w:szCs w:val="16"/>
        </w:rPr>
        <w:t xml:space="preserve">and their </w:t>
      </w:r>
      <w:r w:rsidRPr="00EE1141">
        <w:rPr>
          <w:rFonts w:ascii="Times New Roman" w:hAnsi="Times New Roman" w:cs="Times New Roman"/>
          <w:sz w:val="16"/>
          <w:szCs w:val="16"/>
        </w:rPr>
        <w:t xml:space="preserve">interaction </w:t>
      </w:r>
      <w:r>
        <w:rPr>
          <w:rFonts w:ascii="Times New Roman" w:hAnsi="Times New Roman" w:cs="Times New Roman"/>
          <w:sz w:val="16"/>
          <w:szCs w:val="16"/>
        </w:rPr>
        <w:t>with</w:t>
      </w:r>
      <w:r w:rsidR="005A5576" w:rsidRPr="005A5576">
        <w:rPr>
          <w:rFonts w:ascii="Times New Roman" w:hAnsi="Times New Roman" w:cs="Times New Roman"/>
          <w:sz w:val="16"/>
          <w:szCs w:val="16"/>
        </w:rPr>
        <w:t xml:space="preserve"> </w:t>
      </w:r>
      <w:r w:rsidR="005A5576" w:rsidRPr="00EE1141">
        <w:rPr>
          <w:rFonts w:ascii="Times New Roman" w:hAnsi="Times New Roman" w:cs="Times New Roman"/>
          <w:sz w:val="16"/>
          <w:szCs w:val="16"/>
        </w:rPr>
        <w:t>country-level variables</w:t>
      </w:r>
      <w:r>
        <w:rPr>
          <w:rFonts w:ascii="Times New Roman" w:hAnsi="Times New Roman" w:cs="Times New Roman"/>
          <w:sz w:val="16"/>
          <w:szCs w:val="16"/>
        </w:rPr>
        <w:t>,</w:t>
      </w:r>
      <w:r w:rsidRPr="00EE1141">
        <w:rPr>
          <w:rFonts w:ascii="Times New Roman" w:hAnsi="Times New Roman" w:cs="Times New Roman"/>
          <w:sz w:val="16"/>
          <w:szCs w:val="16"/>
        </w:rPr>
        <w:t xml:space="preserve"> </w:t>
      </w:r>
      <w:r>
        <w:rPr>
          <w:rFonts w:ascii="Times New Roman" w:hAnsi="Times New Roman" w:cs="Times New Roman"/>
          <w:sz w:val="16"/>
          <w:szCs w:val="16"/>
        </w:rPr>
        <w:t xml:space="preserve">controlling for </w:t>
      </w:r>
      <w:r w:rsidRPr="00EE1141">
        <w:rPr>
          <w:rFonts w:ascii="Times New Roman" w:hAnsi="Times New Roman" w:cs="Times New Roman"/>
          <w:sz w:val="16"/>
          <w:szCs w:val="16"/>
        </w:rPr>
        <w:t>firm-level variable</w:t>
      </w:r>
      <w:r>
        <w:rPr>
          <w:rFonts w:ascii="Times New Roman" w:hAnsi="Times New Roman" w:cs="Times New Roman"/>
          <w:sz w:val="16"/>
          <w:szCs w:val="16"/>
        </w:rPr>
        <w:t xml:space="preserve">s. Panel A </w:t>
      </w:r>
      <w:r w:rsidR="005A5576">
        <w:rPr>
          <w:rFonts w:ascii="Times New Roman" w:hAnsi="Times New Roman" w:cs="Times New Roman"/>
          <w:sz w:val="16"/>
          <w:szCs w:val="16"/>
        </w:rPr>
        <w:t>reports the results using</w:t>
      </w:r>
      <w:r>
        <w:rPr>
          <w:rFonts w:ascii="Times New Roman" w:hAnsi="Times New Roman" w:cs="Times New Roman"/>
          <w:sz w:val="16"/>
          <w:szCs w:val="16"/>
        </w:rPr>
        <w:t xml:space="preserve"> the full sample and Panel B the non-US subsample. </w:t>
      </w:r>
    </w:p>
    <w:p w:rsidR="00CC153B" w:rsidRDefault="00CC153B" w:rsidP="00CC153B">
      <w:pPr>
        <w:spacing w:after="0" w:line="240" w:lineRule="auto"/>
        <w:ind w:firstLine="288"/>
        <w:jc w:val="both"/>
        <w:rPr>
          <w:rFonts w:ascii="Times New Roman" w:hAnsi="Times New Roman" w:cs="Times New Roman"/>
          <w:sz w:val="16"/>
        </w:rPr>
      </w:pPr>
      <w:r>
        <w:rPr>
          <w:rFonts w:ascii="Times New Roman" w:hAnsi="Times New Roman" w:cs="Times New Roman"/>
          <w:sz w:val="16"/>
          <w:szCs w:val="16"/>
        </w:rPr>
        <w:t xml:space="preserve">We control </w:t>
      </w:r>
      <w:r w:rsidRPr="00EE1141">
        <w:rPr>
          <w:rFonts w:ascii="Times New Roman" w:hAnsi="Times New Roman" w:cs="Times New Roman"/>
          <w:sz w:val="16"/>
          <w:szCs w:val="16"/>
        </w:rPr>
        <w:t>for firm</w:t>
      </w:r>
      <w:r>
        <w:rPr>
          <w:rFonts w:ascii="Times New Roman" w:hAnsi="Times New Roman" w:cs="Times New Roman"/>
          <w:sz w:val="16"/>
          <w:szCs w:val="16"/>
        </w:rPr>
        <w:t xml:space="preserve"> characteristics such as cash flow, Tobin’s q, change in cash holding from the previous quarter, leverage, and sales growth.</w:t>
      </w:r>
      <w:r w:rsidRPr="00EE1141">
        <w:rPr>
          <w:rFonts w:ascii="Times New Roman" w:hAnsi="Times New Roman" w:cs="Times New Roman"/>
          <w:sz w:val="16"/>
          <w:szCs w:val="16"/>
        </w:rPr>
        <w:t xml:space="preserve"> </w:t>
      </w:r>
      <w:r>
        <w:rPr>
          <w:rFonts w:ascii="Times New Roman" w:hAnsi="Times New Roman" w:cs="Times New Roman"/>
          <w:sz w:val="16"/>
          <w:szCs w:val="16"/>
        </w:rPr>
        <w:t xml:space="preserve">We control for firm </w:t>
      </w:r>
      <w:r w:rsidRPr="00EE1141">
        <w:rPr>
          <w:rFonts w:ascii="Times New Roman" w:hAnsi="Times New Roman" w:cs="Times New Roman"/>
          <w:sz w:val="16"/>
          <w:szCs w:val="16"/>
        </w:rPr>
        <w:t xml:space="preserve">fixed effects and country-level GDP per capita and GDP growth. We also add Fama-French-48 industry × calendar quarter interaction fixed effects to control for time-varying investment opportunities. </w:t>
      </w:r>
      <w:r w:rsidRPr="00EE1141">
        <w:rPr>
          <w:rFonts w:ascii="Times New Roman" w:hAnsi="Times New Roman" w:cs="Times New Roman"/>
          <w:sz w:val="16"/>
        </w:rPr>
        <w:t xml:space="preserve">We categorize country-level variables into </w:t>
      </w:r>
      <w:r>
        <w:rPr>
          <w:rFonts w:ascii="Times New Roman" w:hAnsi="Times New Roman" w:cs="Times New Roman"/>
          <w:sz w:val="16"/>
        </w:rPr>
        <w:t>two categories: investor rights and protection and level of financial market development</w:t>
      </w:r>
      <w:r w:rsidRPr="00EE1141">
        <w:rPr>
          <w:rFonts w:ascii="Times New Roman" w:hAnsi="Times New Roman" w:cs="Times New Roman"/>
          <w:sz w:val="16"/>
        </w:rPr>
        <w:t>.</w:t>
      </w:r>
      <w:r w:rsidRPr="003F0CA6">
        <w:rPr>
          <w:rFonts w:ascii="Times New Roman" w:hAnsi="Times New Roman" w:cs="Times New Roman"/>
          <w:sz w:val="16"/>
          <w:szCs w:val="16"/>
        </w:rPr>
        <w:t xml:space="preserve"> </w:t>
      </w:r>
      <w:r w:rsidRPr="00EE1141">
        <w:rPr>
          <w:rFonts w:ascii="Times New Roman" w:hAnsi="Times New Roman" w:cs="Times New Roman"/>
          <w:sz w:val="16"/>
          <w:szCs w:val="16"/>
        </w:rPr>
        <w:t>Robust standard errors are reported in parentheses. *, **, and *** indicate significance at the 10%, 5%, and 1% level, respectively. Standard errors are clustered at the country level. Firm-level controls are winsorized at the 1% tails. Our sample includes 4</w:t>
      </w:r>
      <w:r>
        <w:rPr>
          <w:rFonts w:ascii="Times New Roman" w:hAnsi="Times New Roman" w:cs="Times New Roman"/>
          <w:sz w:val="16"/>
          <w:szCs w:val="16"/>
        </w:rPr>
        <w:t>1</w:t>
      </w:r>
      <w:r w:rsidRPr="00EE1141">
        <w:rPr>
          <w:rFonts w:ascii="Times New Roman" w:hAnsi="Times New Roman" w:cs="Times New Roman"/>
          <w:sz w:val="16"/>
          <w:szCs w:val="16"/>
        </w:rPr>
        <w:t xml:space="preserve"> countries and covers the period 2005-2014 in fiscal years. </w:t>
      </w:r>
      <w:r w:rsidRPr="00EE1141">
        <w:rPr>
          <w:rFonts w:ascii="Times New Roman" w:hAnsi="Times New Roman" w:cs="Times New Roman"/>
          <w:sz w:val="16"/>
        </w:rPr>
        <w:t>The details of the</w:t>
      </w:r>
      <w:r w:rsidR="00050F48">
        <w:rPr>
          <w:rFonts w:ascii="Times New Roman" w:hAnsi="Times New Roman" w:cs="Times New Roman"/>
          <w:sz w:val="16"/>
        </w:rPr>
        <w:t xml:space="preserve"> country-level</w:t>
      </w:r>
      <w:r w:rsidRPr="00EE1141">
        <w:rPr>
          <w:rFonts w:ascii="Times New Roman" w:hAnsi="Times New Roman" w:cs="Times New Roman"/>
          <w:sz w:val="16"/>
        </w:rPr>
        <w:t xml:space="preserve"> variables are provided in Appendix A.</w:t>
      </w:r>
    </w:p>
    <w:p w:rsidR="00CC153B" w:rsidRDefault="00CC153B" w:rsidP="00CC153B">
      <w:pPr>
        <w:spacing w:after="0" w:line="240" w:lineRule="auto"/>
        <w:ind w:firstLine="288"/>
        <w:jc w:val="both"/>
        <w:rPr>
          <w:rFonts w:ascii="Times New Roman" w:hAnsi="Times New Roman" w:cs="Times New Roman"/>
          <w:sz w:val="16"/>
        </w:rPr>
      </w:pPr>
    </w:p>
    <w:tbl>
      <w:tblPr>
        <w:tblW w:w="12528" w:type="dxa"/>
        <w:jc w:val="center"/>
        <w:tblLayout w:type="fixed"/>
        <w:tblCellMar>
          <w:left w:w="75" w:type="dxa"/>
          <w:right w:w="75" w:type="dxa"/>
        </w:tblCellMar>
        <w:tblLook w:val="0000" w:firstRow="0" w:lastRow="0" w:firstColumn="0" w:lastColumn="0" w:noHBand="0" w:noVBand="0"/>
      </w:tblPr>
      <w:tblGrid>
        <w:gridCol w:w="1440"/>
        <w:gridCol w:w="1008"/>
        <w:gridCol w:w="1008"/>
        <w:gridCol w:w="1008"/>
        <w:gridCol w:w="1008"/>
        <w:gridCol w:w="1008"/>
        <w:gridCol w:w="1008"/>
        <w:gridCol w:w="1008"/>
        <w:gridCol w:w="1008"/>
        <w:gridCol w:w="1008"/>
        <w:gridCol w:w="1008"/>
        <w:gridCol w:w="1008"/>
      </w:tblGrid>
      <w:tr w:rsidR="00CC153B" w:rsidRPr="005A5576" w:rsidTr="000928AC">
        <w:trPr>
          <w:jc w:val="center"/>
        </w:trPr>
        <w:tc>
          <w:tcPr>
            <w:tcW w:w="12528" w:type="dxa"/>
            <w:gridSpan w:val="12"/>
            <w:tcBorders>
              <w:top w:val="double" w:sz="4" w:space="0" w:color="auto"/>
              <w:left w:val="nil"/>
              <w:bottom w:val="nil"/>
              <w:right w:val="nil"/>
            </w:tcBorders>
          </w:tcPr>
          <w:p w:rsidR="00CC153B" w:rsidRPr="005A5576" w:rsidRDefault="00CC153B" w:rsidP="00337B95">
            <w:pPr>
              <w:widowControl w:val="0"/>
              <w:autoSpaceDE w:val="0"/>
              <w:autoSpaceDN w:val="0"/>
              <w:adjustRightInd w:val="0"/>
              <w:spacing w:after="0" w:line="240" w:lineRule="auto"/>
              <w:jc w:val="center"/>
              <w:rPr>
                <w:rFonts w:ascii="Times New Roman" w:hAnsi="Times New Roman" w:cs="Times New Roman"/>
                <w:sz w:val="18"/>
                <w:szCs w:val="16"/>
              </w:rPr>
            </w:pPr>
            <w:r w:rsidRPr="005A5576">
              <w:rPr>
                <w:rFonts w:ascii="Times New Roman" w:hAnsi="Times New Roman" w:cs="Times New Roman"/>
                <w:sz w:val="18"/>
                <w:szCs w:val="16"/>
              </w:rPr>
              <w:t>Panel A</w:t>
            </w:r>
            <w:r w:rsidR="005A5576">
              <w:rPr>
                <w:rFonts w:ascii="Times New Roman" w:hAnsi="Times New Roman" w:cs="Times New Roman"/>
                <w:sz w:val="18"/>
                <w:szCs w:val="16"/>
              </w:rPr>
              <w:t xml:space="preserve">: </w:t>
            </w:r>
            <w:r w:rsidR="005A5576" w:rsidRPr="00535E57">
              <w:rPr>
                <w:rFonts w:ascii="Times New Roman" w:hAnsi="Times New Roman" w:cs="Times New Roman"/>
                <w:sz w:val="18"/>
                <w:szCs w:val="16"/>
              </w:rPr>
              <w:t>Full Sample</w:t>
            </w:r>
          </w:p>
        </w:tc>
      </w:tr>
      <w:tr w:rsidR="000928AC" w:rsidTr="000928AC">
        <w:trPr>
          <w:trHeight w:val="291"/>
          <w:jc w:val="center"/>
        </w:trPr>
        <w:tc>
          <w:tcPr>
            <w:tcW w:w="1440" w:type="dxa"/>
            <w:tcBorders>
              <w:top w:val="single" w:sz="6" w:space="0" w:color="auto"/>
              <w:left w:val="nil"/>
              <w:bottom w:val="nil"/>
              <w:right w:val="nil"/>
            </w:tcBorders>
          </w:tcPr>
          <w:p w:rsidR="000928AC" w:rsidRPr="00850664" w:rsidRDefault="000928AC" w:rsidP="00337B95">
            <w:pPr>
              <w:widowControl w:val="0"/>
              <w:autoSpaceDE w:val="0"/>
              <w:autoSpaceDN w:val="0"/>
              <w:adjustRightInd w:val="0"/>
              <w:spacing w:after="0" w:line="240" w:lineRule="auto"/>
              <w:rPr>
                <w:rFonts w:ascii="Times New Roman" w:hAnsi="Times New Roman"/>
                <w:sz w:val="16"/>
                <w:szCs w:val="24"/>
              </w:rPr>
            </w:pPr>
          </w:p>
        </w:tc>
        <w:tc>
          <w:tcPr>
            <w:tcW w:w="11088" w:type="dxa"/>
            <w:gridSpan w:val="11"/>
            <w:tcBorders>
              <w:top w:val="single" w:sz="6" w:space="0" w:color="auto"/>
              <w:left w:val="nil"/>
              <w:bottom w:val="nil"/>
              <w:right w:val="nil"/>
            </w:tcBorders>
            <w:vAlign w:val="center"/>
          </w:tcPr>
          <w:p w:rsidR="000928AC" w:rsidRPr="000277B2" w:rsidRDefault="000928AC" w:rsidP="00337B95">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8"/>
                <w:szCs w:val="16"/>
              </w:rPr>
              <w:t>Country Characteristics (COUNTRY)</w:t>
            </w:r>
          </w:p>
        </w:tc>
      </w:tr>
      <w:tr w:rsidR="00CC153B" w:rsidTr="00337B95">
        <w:trPr>
          <w:jc w:val="center"/>
        </w:trPr>
        <w:tc>
          <w:tcPr>
            <w:tcW w:w="1440" w:type="dxa"/>
            <w:tcBorders>
              <w:top w:val="nil"/>
              <w:left w:val="nil"/>
              <w:bottom w:val="single" w:sz="6" w:space="0" w:color="auto"/>
              <w:right w:val="nil"/>
            </w:tcBorders>
          </w:tcPr>
          <w:p w:rsidR="00CC153B" w:rsidRPr="00850664" w:rsidRDefault="00CC153B" w:rsidP="00050F48">
            <w:pPr>
              <w:widowControl w:val="0"/>
              <w:autoSpaceDE w:val="0"/>
              <w:autoSpaceDN w:val="0"/>
              <w:adjustRightInd w:val="0"/>
              <w:spacing w:after="0" w:line="240" w:lineRule="auto"/>
              <w:rPr>
                <w:rFonts w:ascii="Times New Roman" w:hAnsi="Times New Roman"/>
                <w:sz w:val="16"/>
                <w:szCs w:val="24"/>
              </w:rPr>
            </w:pPr>
            <w:r w:rsidRPr="00050F48">
              <w:rPr>
                <w:rFonts w:ascii="Times New Roman" w:hAnsi="Times New Roman"/>
                <w:sz w:val="18"/>
                <w:szCs w:val="24"/>
              </w:rPr>
              <w:t>V</w:t>
            </w:r>
            <w:r w:rsidR="00050F48" w:rsidRPr="00050F48">
              <w:rPr>
                <w:rFonts w:ascii="Times New Roman" w:hAnsi="Times New Roman"/>
                <w:sz w:val="18"/>
                <w:szCs w:val="24"/>
              </w:rPr>
              <w:t>ariables</w:t>
            </w:r>
          </w:p>
        </w:tc>
        <w:tc>
          <w:tcPr>
            <w:tcW w:w="1008" w:type="dxa"/>
            <w:tcBorders>
              <w:top w:val="nil"/>
              <w:left w:val="nil"/>
              <w:bottom w:val="single" w:sz="6" w:space="0" w:color="auto"/>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AD</w:t>
            </w:r>
          </w:p>
        </w:tc>
        <w:tc>
          <w:tcPr>
            <w:tcW w:w="1008" w:type="dxa"/>
            <w:tcBorders>
              <w:top w:val="nil"/>
              <w:left w:val="nil"/>
              <w:bottom w:val="single" w:sz="6" w:space="0" w:color="auto"/>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AS</w:t>
            </w:r>
          </w:p>
        </w:tc>
        <w:tc>
          <w:tcPr>
            <w:tcW w:w="1008" w:type="dxa"/>
            <w:tcBorders>
              <w:top w:val="nil"/>
              <w:left w:val="nil"/>
              <w:bottom w:val="single" w:sz="6" w:space="0" w:color="auto"/>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DISC</w:t>
            </w:r>
          </w:p>
        </w:tc>
        <w:tc>
          <w:tcPr>
            <w:tcW w:w="1008" w:type="dxa"/>
            <w:tcBorders>
              <w:top w:val="nil"/>
              <w:left w:val="nil"/>
              <w:bottom w:val="single" w:sz="6" w:space="0" w:color="auto"/>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ACCT</w:t>
            </w:r>
          </w:p>
        </w:tc>
        <w:tc>
          <w:tcPr>
            <w:tcW w:w="1008" w:type="dxa"/>
            <w:tcBorders>
              <w:top w:val="nil"/>
              <w:left w:val="nil"/>
              <w:bottom w:val="single" w:sz="6" w:space="0" w:color="auto"/>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EM</w:t>
            </w:r>
          </w:p>
        </w:tc>
        <w:tc>
          <w:tcPr>
            <w:tcW w:w="1008" w:type="dxa"/>
            <w:tcBorders>
              <w:top w:val="nil"/>
              <w:left w:val="nil"/>
              <w:bottom w:val="single" w:sz="6" w:space="0" w:color="auto"/>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UK</w:t>
            </w:r>
          </w:p>
        </w:tc>
        <w:tc>
          <w:tcPr>
            <w:tcW w:w="1008" w:type="dxa"/>
            <w:tcBorders>
              <w:top w:val="nil"/>
              <w:left w:val="nil"/>
              <w:bottom w:val="single" w:sz="6" w:space="0" w:color="auto"/>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RULE</w:t>
            </w:r>
          </w:p>
        </w:tc>
        <w:tc>
          <w:tcPr>
            <w:tcW w:w="1008" w:type="dxa"/>
            <w:tcBorders>
              <w:top w:val="nil"/>
              <w:left w:val="nil"/>
              <w:bottom w:val="single" w:sz="6" w:space="0" w:color="auto"/>
              <w:right w:val="nil"/>
            </w:tcBorders>
          </w:tcPr>
          <w:p w:rsidR="00CC153B" w:rsidRPr="004E3829"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EQUITY</w:t>
            </w:r>
          </w:p>
        </w:tc>
        <w:tc>
          <w:tcPr>
            <w:tcW w:w="1008" w:type="dxa"/>
            <w:tcBorders>
              <w:top w:val="nil"/>
              <w:left w:val="nil"/>
              <w:bottom w:val="single" w:sz="6" w:space="0" w:color="auto"/>
              <w:right w:val="nil"/>
            </w:tcBorders>
          </w:tcPr>
          <w:p w:rsidR="00CC153B" w:rsidRPr="004E3829"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CREDIT</w:t>
            </w:r>
          </w:p>
        </w:tc>
        <w:tc>
          <w:tcPr>
            <w:tcW w:w="1008" w:type="dxa"/>
            <w:tcBorders>
              <w:top w:val="nil"/>
              <w:left w:val="nil"/>
              <w:bottom w:val="single" w:sz="6" w:space="0" w:color="auto"/>
              <w:right w:val="nil"/>
            </w:tcBorders>
          </w:tcPr>
          <w:p w:rsidR="00CC153B" w:rsidRPr="004E3829"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FD</w:t>
            </w:r>
          </w:p>
        </w:tc>
        <w:tc>
          <w:tcPr>
            <w:tcW w:w="1008" w:type="dxa"/>
            <w:tcBorders>
              <w:top w:val="nil"/>
              <w:left w:val="nil"/>
              <w:bottom w:val="single" w:sz="6" w:space="0" w:color="auto"/>
              <w:right w:val="nil"/>
            </w:tcBorders>
          </w:tcPr>
          <w:p w:rsidR="00CC153B" w:rsidRPr="004E3829"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IPO</w:t>
            </w:r>
          </w:p>
        </w:tc>
      </w:tr>
      <w:tr w:rsidR="00CC153B" w:rsidTr="00337B95">
        <w:trPr>
          <w:jc w:val="center"/>
        </w:trPr>
        <w:tc>
          <w:tcPr>
            <w:tcW w:w="1440"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r>
      <w:tr w:rsidR="005A07A2" w:rsidRPr="00355322" w:rsidTr="00337B95">
        <w:trPr>
          <w:jc w:val="center"/>
        </w:trPr>
        <w:tc>
          <w:tcPr>
            <w:tcW w:w="1440" w:type="dxa"/>
            <w:tcBorders>
              <w:top w:val="nil"/>
              <w:left w:val="nil"/>
              <w:bottom w:val="nil"/>
              <w:right w:val="nil"/>
            </w:tcBorders>
          </w:tcPr>
          <w:p w:rsidR="005A07A2" w:rsidRPr="00355322" w:rsidRDefault="005A07A2" w:rsidP="00337B9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q</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0.0729**</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0.0878***</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0.0636*</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-0.0395</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0.120***</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0.0839***</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0.0776***</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0.116***</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0.0870***</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0.110***</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0.0798***</w:t>
            </w:r>
          </w:p>
        </w:tc>
      </w:tr>
      <w:tr w:rsidR="005A07A2" w:rsidRPr="00355322" w:rsidTr="00337B95">
        <w:trPr>
          <w:trHeight w:val="288"/>
          <w:jc w:val="center"/>
        </w:trPr>
        <w:tc>
          <w:tcPr>
            <w:tcW w:w="1440" w:type="dxa"/>
            <w:tcBorders>
              <w:top w:val="nil"/>
              <w:left w:val="nil"/>
              <w:bottom w:val="nil"/>
              <w:right w:val="nil"/>
            </w:tcBorders>
          </w:tcPr>
          <w:p w:rsidR="005A07A2" w:rsidRPr="00355322" w:rsidRDefault="005A07A2" w:rsidP="00337B95">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(0.0295)</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(0.0289)</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(0.0335)</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(0.117)</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(0.0122)</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(0.0177)</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(0.0203)</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(0.0154)</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(0.0230)</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(0.0223)</w:t>
            </w:r>
          </w:p>
        </w:tc>
        <w:tc>
          <w:tcPr>
            <w:tcW w:w="1008" w:type="dxa"/>
            <w:tcBorders>
              <w:top w:val="nil"/>
              <w:left w:val="nil"/>
              <w:bottom w:val="nil"/>
              <w:right w:val="nil"/>
            </w:tcBorders>
          </w:tcPr>
          <w:p w:rsidR="005A07A2" w:rsidRPr="00BE3C4D"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BE3C4D">
              <w:rPr>
                <w:rFonts w:ascii="Times New Roman" w:hAnsi="Times New Roman" w:cs="Times New Roman"/>
                <w:sz w:val="16"/>
                <w:szCs w:val="16"/>
              </w:rPr>
              <w:t>(0.0189)</w:t>
            </w:r>
          </w:p>
        </w:tc>
      </w:tr>
      <w:tr w:rsidR="00CC153B" w:rsidRPr="00355322" w:rsidTr="00337B95">
        <w:trPr>
          <w:jc w:val="center"/>
        </w:trPr>
        <w:tc>
          <w:tcPr>
            <w:tcW w:w="1440" w:type="dxa"/>
            <w:tcBorders>
              <w:top w:val="nil"/>
              <w:left w:val="nil"/>
              <w:bottom w:val="nil"/>
              <w:right w:val="nil"/>
            </w:tcBorders>
          </w:tcPr>
          <w:p w:rsidR="00CC153B" w:rsidRPr="00355322" w:rsidRDefault="00CC153B" w:rsidP="00337B95">
            <w:pPr>
              <w:widowControl w:val="0"/>
              <w:autoSpaceDE w:val="0"/>
              <w:autoSpaceDN w:val="0"/>
              <w:adjustRightInd w:val="0"/>
              <w:spacing w:after="0" w:line="240" w:lineRule="auto"/>
              <w:rPr>
                <w:rFonts w:ascii="Times New Roman" w:hAnsi="Times New Roman" w:cs="Times New Roman"/>
                <w:sz w:val="16"/>
                <w:szCs w:val="16"/>
              </w:rPr>
            </w:pPr>
            <w:r w:rsidRPr="00355322">
              <w:rPr>
                <w:rFonts w:ascii="Times New Roman" w:hAnsi="Times New Roman" w:cs="Times New Roman"/>
                <w:sz w:val="16"/>
                <w:szCs w:val="16"/>
              </w:rPr>
              <w:t>COUNTRY×q</w:t>
            </w:r>
          </w:p>
        </w:tc>
        <w:tc>
          <w:tcPr>
            <w:tcW w:w="1008" w:type="dxa"/>
            <w:tcBorders>
              <w:top w:val="nil"/>
              <w:left w:val="nil"/>
              <w:bottom w:val="nil"/>
              <w:right w:val="nil"/>
            </w:tcBorders>
          </w:tcPr>
          <w:p w:rsidR="00CC153B" w:rsidRPr="00355322" w:rsidRDefault="00CC153B" w:rsidP="005A07A2">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0.00</w:t>
            </w:r>
            <w:r w:rsidR="00261674">
              <w:rPr>
                <w:rFonts w:ascii="Times New Roman" w:hAnsi="Times New Roman"/>
                <w:sz w:val="16"/>
                <w:szCs w:val="24"/>
              </w:rPr>
              <w:t>8</w:t>
            </w:r>
            <w:r w:rsidR="005A07A2">
              <w:rPr>
                <w:rFonts w:ascii="Times New Roman" w:hAnsi="Times New Roman"/>
                <w:sz w:val="16"/>
                <w:szCs w:val="24"/>
              </w:rPr>
              <w:t>2</w:t>
            </w:r>
            <w:r w:rsidRPr="00355322">
              <w:rPr>
                <w:rFonts w:ascii="Times New Roman" w:hAnsi="Times New Roman"/>
                <w:sz w:val="16"/>
                <w:szCs w:val="24"/>
              </w:rPr>
              <w:t>***</w:t>
            </w:r>
          </w:p>
        </w:tc>
        <w:tc>
          <w:tcPr>
            <w:tcW w:w="1008" w:type="dxa"/>
            <w:tcBorders>
              <w:top w:val="nil"/>
              <w:left w:val="nil"/>
              <w:bottom w:val="nil"/>
              <w:right w:val="nil"/>
            </w:tcBorders>
          </w:tcPr>
          <w:p w:rsidR="00CC153B" w:rsidRPr="00355322" w:rsidRDefault="00CC153B" w:rsidP="005A07A2">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0.03</w:t>
            </w:r>
            <w:r w:rsidR="005A07A2">
              <w:rPr>
                <w:rFonts w:ascii="Times New Roman" w:hAnsi="Times New Roman"/>
                <w:sz w:val="16"/>
                <w:szCs w:val="24"/>
              </w:rPr>
              <w:t>54</w:t>
            </w:r>
            <w:r w:rsidRPr="00355322">
              <w:rPr>
                <w:rFonts w:ascii="Times New Roman" w:hAnsi="Times New Roman"/>
                <w:sz w:val="16"/>
                <w:szCs w:val="24"/>
              </w:rPr>
              <w:t>**</w:t>
            </w:r>
          </w:p>
        </w:tc>
        <w:tc>
          <w:tcPr>
            <w:tcW w:w="1008" w:type="dxa"/>
            <w:tcBorders>
              <w:top w:val="nil"/>
              <w:left w:val="nil"/>
              <w:bottom w:val="nil"/>
              <w:right w:val="nil"/>
            </w:tcBorders>
          </w:tcPr>
          <w:p w:rsidR="00CC153B" w:rsidRPr="00355322" w:rsidRDefault="00CC153B" w:rsidP="00122B94">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0.0065*</w:t>
            </w:r>
          </w:p>
        </w:tc>
        <w:tc>
          <w:tcPr>
            <w:tcW w:w="1008" w:type="dxa"/>
            <w:tcBorders>
              <w:top w:val="nil"/>
              <w:left w:val="nil"/>
              <w:bottom w:val="nil"/>
              <w:right w:val="nil"/>
            </w:tcBorders>
          </w:tcPr>
          <w:p w:rsidR="00CC153B" w:rsidRPr="00355322" w:rsidRDefault="00CC153B" w:rsidP="005A07A2">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0.002</w:t>
            </w:r>
            <w:r w:rsidR="005A07A2">
              <w:rPr>
                <w:rFonts w:ascii="Times New Roman" w:hAnsi="Times New Roman"/>
                <w:sz w:val="16"/>
                <w:szCs w:val="24"/>
              </w:rPr>
              <w:t>1</w:t>
            </w:r>
            <w:r w:rsidRPr="00355322">
              <w:rPr>
                <w:rFonts w:ascii="Times New Roman" w:hAnsi="Times New Roman"/>
                <w:sz w:val="16"/>
                <w:szCs w:val="24"/>
              </w:rPr>
              <w:t>**</w:t>
            </w:r>
          </w:p>
        </w:tc>
        <w:tc>
          <w:tcPr>
            <w:tcW w:w="1008" w:type="dxa"/>
            <w:tcBorders>
              <w:top w:val="nil"/>
              <w:left w:val="nil"/>
              <w:bottom w:val="nil"/>
              <w:right w:val="nil"/>
            </w:tcBorders>
          </w:tcPr>
          <w:p w:rsidR="00CC153B" w:rsidRPr="00355322" w:rsidRDefault="005A07A2" w:rsidP="00337B95">
            <w:pPr>
              <w:widowControl w:val="0"/>
              <w:autoSpaceDE w:val="0"/>
              <w:autoSpaceDN w:val="0"/>
              <w:adjustRightInd w:val="0"/>
              <w:spacing w:after="0" w:line="240" w:lineRule="auto"/>
              <w:jc w:val="center"/>
              <w:rPr>
                <w:rFonts w:ascii="Times New Roman" w:hAnsi="Times New Roman"/>
                <w:sz w:val="16"/>
                <w:szCs w:val="24"/>
              </w:rPr>
            </w:pPr>
            <w:r>
              <w:rPr>
                <w:rFonts w:ascii="Times New Roman" w:hAnsi="Times New Roman"/>
                <w:sz w:val="16"/>
                <w:szCs w:val="24"/>
              </w:rPr>
              <w:t>-0.0019</w:t>
            </w:r>
            <w:r w:rsidR="00CC153B" w:rsidRPr="00355322">
              <w:rPr>
                <w:rFonts w:ascii="Times New Roman" w:hAnsi="Times New Roman"/>
                <w:sz w:val="16"/>
                <w:szCs w:val="24"/>
              </w:rPr>
              <w:t>***</w:t>
            </w:r>
          </w:p>
        </w:tc>
        <w:tc>
          <w:tcPr>
            <w:tcW w:w="1008" w:type="dxa"/>
            <w:tcBorders>
              <w:top w:val="nil"/>
              <w:left w:val="nil"/>
              <w:bottom w:val="nil"/>
              <w:right w:val="nil"/>
            </w:tcBorders>
          </w:tcPr>
          <w:p w:rsidR="00CC153B" w:rsidRPr="00355322" w:rsidRDefault="00CC153B" w:rsidP="005A07A2">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0.02</w:t>
            </w:r>
            <w:r w:rsidR="005A07A2">
              <w:rPr>
                <w:rFonts w:ascii="Times New Roman" w:hAnsi="Times New Roman"/>
                <w:sz w:val="16"/>
                <w:szCs w:val="24"/>
              </w:rPr>
              <w:t>9</w:t>
            </w:r>
            <w:r w:rsidR="00261674">
              <w:rPr>
                <w:rFonts w:ascii="Times New Roman" w:hAnsi="Times New Roman"/>
                <w:sz w:val="16"/>
                <w:szCs w:val="24"/>
              </w:rPr>
              <w:t>5</w:t>
            </w:r>
            <w:r w:rsidRPr="00355322">
              <w:rPr>
                <w:rFonts w:ascii="Times New Roman" w:hAnsi="Times New Roman"/>
                <w:sz w:val="16"/>
                <w:szCs w:val="24"/>
              </w:rPr>
              <w:t>*</w:t>
            </w:r>
          </w:p>
        </w:tc>
        <w:tc>
          <w:tcPr>
            <w:tcW w:w="1008" w:type="dxa"/>
            <w:tcBorders>
              <w:top w:val="nil"/>
              <w:left w:val="nil"/>
              <w:bottom w:val="nil"/>
              <w:right w:val="nil"/>
            </w:tcBorders>
          </w:tcPr>
          <w:p w:rsidR="00CC153B" w:rsidRPr="00355322" w:rsidRDefault="00CC153B" w:rsidP="005A07A2">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0.021</w:t>
            </w:r>
            <w:r w:rsidR="005A07A2">
              <w:rPr>
                <w:rFonts w:ascii="Times New Roman" w:hAnsi="Times New Roman"/>
                <w:sz w:val="16"/>
                <w:szCs w:val="24"/>
              </w:rPr>
              <w:t>7</w:t>
            </w:r>
            <w:r w:rsidRPr="00355322">
              <w:rPr>
                <w:rFonts w:ascii="Times New Roman" w:hAnsi="Times New Roman"/>
                <w:sz w:val="16"/>
                <w:szCs w:val="24"/>
              </w:rPr>
              <w:t>*</w:t>
            </w:r>
          </w:p>
        </w:tc>
        <w:tc>
          <w:tcPr>
            <w:tcW w:w="1008" w:type="dxa"/>
            <w:tcBorders>
              <w:top w:val="nil"/>
              <w:left w:val="nil"/>
              <w:bottom w:val="nil"/>
              <w:right w:val="nil"/>
            </w:tcBorders>
          </w:tcPr>
          <w:p w:rsidR="00CC153B" w:rsidRPr="00355322" w:rsidRDefault="00CC153B" w:rsidP="005A07A2">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-5.</w:t>
            </w:r>
            <w:r w:rsidR="005A07A2">
              <w:rPr>
                <w:rFonts w:ascii="Times New Roman" w:hAnsi="Times New Roman"/>
                <w:sz w:val="16"/>
                <w:szCs w:val="24"/>
              </w:rPr>
              <w:t>4</w:t>
            </w:r>
            <w:r w:rsidRPr="00355322">
              <w:rPr>
                <w:rFonts w:ascii="Times New Roman" w:hAnsi="Times New Roman"/>
                <w:sz w:val="16"/>
                <w:szCs w:val="24"/>
              </w:rPr>
              <w:t>1e-05</w:t>
            </w:r>
          </w:p>
        </w:tc>
        <w:tc>
          <w:tcPr>
            <w:tcW w:w="1008" w:type="dxa"/>
            <w:tcBorders>
              <w:top w:val="nil"/>
              <w:left w:val="nil"/>
              <w:bottom w:val="nil"/>
              <w:right w:val="nil"/>
            </w:tcBorders>
          </w:tcPr>
          <w:p w:rsidR="00CC153B" w:rsidRPr="00355322" w:rsidRDefault="00CC153B" w:rsidP="00337B95">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0.0001**</w:t>
            </w:r>
          </w:p>
        </w:tc>
        <w:tc>
          <w:tcPr>
            <w:tcW w:w="1008" w:type="dxa"/>
            <w:tcBorders>
              <w:top w:val="nil"/>
              <w:left w:val="nil"/>
              <w:bottom w:val="nil"/>
              <w:right w:val="nil"/>
            </w:tcBorders>
          </w:tcPr>
          <w:p w:rsidR="00CC153B" w:rsidRPr="00355322" w:rsidRDefault="00CC153B" w:rsidP="00261674">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-2.</w:t>
            </w:r>
            <w:r w:rsidR="00261674">
              <w:rPr>
                <w:rFonts w:ascii="Times New Roman" w:hAnsi="Times New Roman"/>
                <w:sz w:val="16"/>
                <w:szCs w:val="24"/>
              </w:rPr>
              <w:t>09</w:t>
            </w:r>
            <w:r w:rsidRPr="00355322">
              <w:rPr>
                <w:rFonts w:ascii="Times New Roman" w:hAnsi="Times New Roman"/>
                <w:sz w:val="16"/>
                <w:szCs w:val="24"/>
              </w:rPr>
              <w:t>e-05</w:t>
            </w:r>
            <w:r w:rsidR="005A07A2" w:rsidRPr="00355322">
              <w:rPr>
                <w:rFonts w:ascii="Times New Roman" w:hAnsi="Times New Roman"/>
                <w:sz w:val="16"/>
                <w:szCs w:val="24"/>
              </w:rPr>
              <w:t>*</w:t>
            </w:r>
          </w:p>
        </w:tc>
        <w:tc>
          <w:tcPr>
            <w:tcW w:w="1008" w:type="dxa"/>
            <w:tcBorders>
              <w:top w:val="nil"/>
              <w:left w:val="nil"/>
              <w:bottom w:val="nil"/>
              <w:right w:val="nil"/>
            </w:tcBorders>
          </w:tcPr>
          <w:p w:rsidR="00CC153B" w:rsidRPr="00355322" w:rsidRDefault="00CC153B" w:rsidP="005A07A2">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0.004</w:t>
            </w:r>
            <w:r w:rsidR="005A07A2">
              <w:rPr>
                <w:rFonts w:ascii="Times New Roman" w:hAnsi="Times New Roman"/>
                <w:sz w:val="16"/>
                <w:szCs w:val="24"/>
              </w:rPr>
              <w:t>7</w:t>
            </w:r>
            <w:r w:rsidRPr="00355322">
              <w:rPr>
                <w:rFonts w:ascii="Times New Roman" w:hAnsi="Times New Roman"/>
                <w:sz w:val="16"/>
                <w:szCs w:val="24"/>
              </w:rPr>
              <w:t>*</w:t>
            </w:r>
          </w:p>
        </w:tc>
      </w:tr>
      <w:tr w:rsidR="00CC153B" w:rsidRPr="00355322" w:rsidTr="00337B95">
        <w:trPr>
          <w:trHeight w:val="324"/>
          <w:jc w:val="center"/>
        </w:trPr>
        <w:tc>
          <w:tcPr>
            <w:tcW w:w="1440" w:type="dxa"/>
            <w:tcBorders>
              <w:top w:val="nil"/>
              <w:left w:val="nil"/>
              <w:bottom w:val="nil"/>
              <w:right w:val="nil"/>
            </w:tcBorders>
          </w:tcPr>
          <w:p w:rsidR="00CC153B" w:rsidRPr="00355322" w:rsidRDefault="00CC153B" w:rsidP="00337B95">
            <w:pPr>
              <w:widowControl w:val="0"/>
              <w:autoSpaceDE w:val="0"/>
              <w:autoSpaceDN w:val="0"/>
              <w:adjustRightInd w:val="0"/>
              <w:spacing w:after="0" w:line="240" w:lineRule="auto"/>
              <w:rPr>
                <w:rFonts w:ascii="Times New Roman" w:hAnsi="Times New Roman"/>
                <w:sz w:val="16"/>
                <w:szCs w:val="24"/>
              </w:rPr>
            </w:pPr>
          </w:p>
        </w:tc>
        <w:tc>
          <w:tcPr>
            <w:tcW w:w="1008" w:type="dxa"/>
            <w:tcBorders>
              <w:top w:val="nil"/>
              <w:left w:val="nil"/>
              <w:bottom w:val="nil"/>
              <w:right w:val="nil"/>
            </w:tcBorders>
          </w:tcPr>
          <w:p w:rsidR="00CC153B" w:rsidRPr="00355322" w:rsidRDefault="005A07A2" w:rsidP="00337B95">
            <w:pPr>
              <w:widowControl w:val="0"/>
              <w:autoSpaceDE w:val="0"/>
              <w:autoSpaceDN w:val="0"/>
              <w:adjustRightInd w:val="0"/>
              <w:spacing w:after="0" w:line="240" w:lineRule="auto"/>
              <w:jc w:val="center"/>
              <w:rPr>
                <w:rFonts w:ascii="Times New Roman" w:hAnsi="Times New Roman"/>
                <w:sz w:val="16"/>
                <w:szCs w:val="24"/>
              </w:rPr>
            </w:pPr>
            <w:r>
              <w:rPr>
                <w:rFonts w:ascii="Times New Roman" w:hAnsi="Times New Roman"/>
                <w:sz w:val="16"/>
                <w:szCs w:val="24"/>
              </w:rPr>
              <w:t>(0.003</w:t>
            </w:r>
            <w:r w:rsidR="00CC153B" w:rsidRPr="00355322">
              <w:rPr>
                <w:rFonts w:ascii="Times New Roman" w:hAnsi="Times New Roman"/>
                <w:sz w:val="16"/>
                <w:szCs w:val="24"/>
              </w:rPr>
              <w:t>7)</w:t>
            </w:r>
          </w:p>
        </w:tc>
        <w:tc>
          <w:tcPr>
            <w:tcW w:w="1008" w:type="dxa"/>
            <w:tcBorders>
              <w:top w:val="nil"/>
              <w:left w:val="nil"/>
              <w:bottom w:val="nil"/>
              <w:right w:val="nil"/>
            </w:tcBorders>
          </w:tcPr>
          <w:p w:rsidR="00CC153B" w:rsidRPr="00355322" w:rsidRDefault="00CC153B" w:rsidP="005A07A2">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(0.017</w:t>
            </w:r>
            <w:r w:rsidR="005A07A2">
              <w:rPr>
                <w:rFonts w:ascii="Times New Roman" w:hAnsi="Times New Roman"/>
                <w:sz w:val="16"/>
                <w:szCs w:val="24"/>
              </w:rPr>
              <w:t>3</w:t>
            </w:r>
            <w:r w:rsidRPr="00355322">
              <w:rPr>
                <w:rFonts w:ascii="Times New Roman" w:hAnsi="Times New Roman"/>
                <w:sz w:val="16"/>
                <w:szCs w:val="24"/>
              </w:rPr>
              <w:t>)</w:t>
            </w:r>
          </w:p>
        </w:tc>
        <w:tc>
          <w:tcPr>
            <w:tcW w:w="1008" w:type="dxa"/>
            <w:tcBorders>
              <w:top w:val="nil"/>
              <w:left w:val="nil"/>
              <w:bottom w:val="nil"/>
              <w:right w:val="nil"/>
            </w:tcBorders>
          </w:tcPr>
          <w:p w:rsidR="00CC153B" w:rsidRPr="00355322" w:rsidRDefault="00CC153B" w:rsidP="005A07A2">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(0.003</w:t>
            </w:r>
            <w:r w:rsidR="005A07A2">
              <w:rPr>
                <w:rFonts w:ascii="Times New Roman" w:hAnsi="Times New Roman"/>
                <w:sz w:val="16"/>
                <w:szCs w:val="24"/>
              </w:rPr>
              <w:t>8</w:t>
            </w:r>
            <w:r w:rsidRPr="00355322">
              <w:rPr>
                <w:rFonts w:ascii="Times New Roman" w:hAnsi="Times New Roman"/>
                <w:sz w:val="16"/>
                <w:szCs w:val="24"/>
              </w:rPr>
              <w:t>)</w:t>
            </w:r>
          </w:p>
        </w:tc>
        <w:tc>
          <w:tcPr>
            <w:tcW w:w="1008" w:type="dxa"/>
            <w:tcBorders>
              <w:top w:val="nil"/>
              <w:left w:val="nil"/>
              <w:bottom w:val="nil"/>
              <w:right w:val="nil"/>
            </w:tcBorders>
          </w:tcPr>
          <w:p w:rsidR="00CC153B" w:rsidRPr="00355322" w:rsidRDefault="00CC153B" w:rsidP="00337B95">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(0.0010)</w:t>
            </w:r>
          </w:p>
        </w:tc>
        <w:tc>
          <w:tcPr>
            <w:tcW w:w="1008" w:type="dxa"/>
            <w:tcBorders>
              <w:top w:val="nil"/>
              <w:left w:val="nil"/>
              <w:bottom w:val="nil"/>
              <w:right w:val="nil"/>
            </w:tcBorders>
          </w:tcPr>
          <w:p w:rsidR="00CC153B" w:rsidRPr="00355322" w:rsidRDefault="00CC153B" w:rsidP="005A07A2">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(0.000</w:t>
            </w:r>
            <w:r w:rsidR="005A07A2">
              <w:rPr>
                <w:rFonts w:ascii="Times New Roman" w:hAnsi="Times New Roman"/>
                <w:sz w:val="16"/>
                <w:szCs w:val="24"/>
              </w:rPr>
              <w:t>8</w:t>
            </w:r>
            <w:r w:rsidRPr="00355322">
              <w:rPr>
                <w:rFonts w:ascii="Times New Roman" w:hAnsi="Times New Roman"/>
                <w:sz w:val="16"/>
                <w:szCs w:val="24"/>
              </w:rPr>
              <w:t>)</w:t>
            </w:r>
          </w:p>
        </w:tc>
        <w:tc>
          <w:tcPr>
            <w:tcW w:w="1008" w:type="dxa"/>
            <w:tcBorders>
              <w:top w:val="nil"/>
              <w:left w:val="nil"/>
              <w:bottom w:val="nil"/>
              <w:right w:val="nil"/>
            </w:tcBorders>
          </w:tcPr>
          <w:p w:rsidR="00CC153B" w:rsidRPr="00355322" w:rsidRDefault="00CC153B" w:rsidP="005A07A2">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(0.01</w:t>
            </w:r>
            <w:r w:rsidR="005A07A2">
              <w:rPr>
                <w:rFonts w:ascii="Times New Roman" w:hAnsi="Times New Roman"/>
                <w:sz w:val="16"/>
                <w:szCs w:val="24"/>
              </w:rPr>
              <w:t>6</w:t>
            </w:r>
            <w:r w:rsidRPr="00355322">
              <w:rPr>
                <w:rFonts w:ascii="Times New Roman" w:hAnsi="Times New Roman"/>
                <w:sz w:val="16"/>
                <w:szCs w:val="24"/>
              </w:rPr>
              <w:t>8)</w:t>
            </w:r>
          </w:p>
        </w:tc>
        <w:tc>
          <w:tcPr>
            <w:tcW w:w="1008" w:type="dxa"/>
            <w:tcBorders>
              <w:top w:val="nil"/>
              <w:left w:val="nil"/>
              <w:bottom w:val="nil"/>
              <w:right w:val="nil"/>
            </w:tcBorders>
          </w:tcPr>
          <w:p w:rsidR="00CC153B" w:rsidRPr="00355322" w:rsidRDefault="00CC153B" w:rsidP="005A07A2">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(0.0</w:t>
            </w:r>
            <w:r w:rsidR="005A07A2">
              <w:rPr>
                <w:rFonts w:ascii="Times New Roman" w:hAnsi="Times New Roman"/>
                <w:sz w:val="16"/>
                <w:szCs w:val="24"/>
              </w:rPr>
              <w:t>126</w:t>
            </w:r>
            <w:r w:rsidRPr="00355322">
              <w:rPr>
                <w:rFonts w:ascii="Times New Roman" w:hAnsi="Times New Roman"/>
                <w:sz w:val="16"/>
                <w:szCs w:val="24"/>
              </w:rPr>
              <w:t>)</w:t>
            </w:r>
          </w:p>
        </w:tc>
        <w:tc>
          <w:tcPr>
            <w:tcW w:w="1008" w:type="dxa"/>
            <w:tcBorders>
              <w:top w:val="nil"/>
              <w:left w:val="nil"/>
              <w:bottom w:val="nil"/>
              <w:right w:val="nil"/>
            </w:tcBorders>
          </w:tcPr>
          <w:p w:rsidR="00CC153B" w:rsidRPr="00355322" w:rsidRDefault="00CC153B" w:rsidP="00337B95">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(4.91e-05)</w:t>
            </w:r>
          </w:p>
        </w:tc>
        <w:tc>
          <w:tcPr>
            <w:tcW w:w="1008" w:type="dxa"/>
            <w:tcBorders>
              <w:top w:val="nil"/>
              <w:left w:val="nil"/>
              <w:bottom w:val="nil"/>
              <w:right w:val="nil"/>
            </w:tcBorders>
          </w:tcPr>
          <w:p w:rsidR="00CC153B" w:rsidRPr="00355322" w:rsidRDefault="00CC153B" w:rsidP="00337B95">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(5.59e-05)</w:t>
            </w:r>
          </w:p>
        </w:tc>
        <w:tc>
          <w:tcPr>
            <w:tcW w:w="1008" w:type="dxa"/>
            <w:tcBorders>
              <w:top w:val="nil"/>
              <w:left w:val="nil"/>
              <w:bottom w:val="nil"/>
              <w:right w:val="nil"/>
            </w:tcBorders>
          </w:tcPr>
          <w:p w:rsidR="00CC153B" w:rsidRPr="00355322" w:rsidRDefault="00CC153B" w:rsidP="005A07A2">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w:t>
            </w:r>
            <w:r w:rsidR="005A07A2">
              <w:rPr>
                <w:rFonts w:ascii="Times New Roman" w:hAnsi="Times New Roman"/>
                <w:sz w:val="16"/>
                <w:szCs w:val="24"/>
              </w:rPr>
              <w:t>1</w:t>
            </w:r>
            <w:r w:rsidRPr="00355322">
              <w:rPr>
                <w:rFonts w:ascii="Times New Roman" w:hAnsi="Times New Roman"/>
                <w:sz w:val="16"/>
                <w:szCs w:val="24"/>
              </w:rPr>
              <w:t>.2</w:t>
            </w:r>
            <w:r w:rsidR="005A07A2">
              <w:rPr>
                <w:rFonts w:ascii="Times New Roman" w:hAnsi="Times New Roman"/>
                <w:sz w:val="16"/>
                <w:szCs w:val="24"/>
              </w:rPr>
              <w:t>8</w:t>
            </w:r>
            <w:r w:rsidRPr="00355322">
              <w:rPr>
                <w:rFonts w:ascii="Times New Roman" w:hAnsi="Times New Roman"/>
                <w:sz w:val="16"/>
                <w:szCs w:val="24"/>
              </w:rPr>
              <w:t>e-05)</w:t>
            </w:r>
          </w:p>
        </w:tc>
        <w:tc>
          <w:tcPr>
            <w:tcW w:w="1008" w:type="dxa"/>
            <w:tcBorders>
              <w:top w:val="nil"/>
              <w:left w:val="nil"/>
              <w:bottom w:val="nil"/>
              <w:right w:val="nil"/>
            </w:tcBorders>
          </w:tcPr>
          <w:p w:rsidR="00CC153B" w:rsidRPr="00355322" w:rsidRDefault="00CC153B" w:rsidP="005A07A2">
            <w:pPr>
              <w:widowControl w:val="0"/>
              <w:autoSpaceDE w:val="0"/>
              <w:autoSpaceDN w:val="0"/>
              <w:adjustRightInd w:val="0"/>
              <w:spacing w:after="0" w:line="240" w:lineRule="auto"/>
              <w:jc w:val="center"/>
              <w:rPr>
                <w:rFonts w:ascii="Times New Roman" w:hAnsi="Times New Roman"/>
                <w:sz w:val="16"/>
                <w:szCs w:val="24"/>
              </w:rPr>
            </w:pPr>
            <w:r w:rsidRPr="00355322">
              <w:rPr>
                <w:rFonts w:ascii="Times New Roman" w:hAnsi="Times New Roman"/>
                <w:sz w:val="16"/>
                <w:szCs w:val="24"/>
              </w:rPr>
              <w:t>(0.00</w:t>
            </w:r>
            <w:r w:rsidR="005A07A2">
              <w:rPr>
                <w:rFonts w:ascii="Times New Roman" w:hAnsi="Times New Roman"/>
                <w:sz w:val="16"/>
                <w:szCs w:val="24"/>
              </w:rPr>
              <w:t>28</w:t>
            </w:r>
            <w:r w:rsidRPr="00355322">
              <w:rPr>
                <w:rFonts w:ascii="Times New Roman" w:hAnsi="Times New Roman"/>
                <w:sz w:val="16"/>
                <w:szCs w:val="24"/>
              </w:rPr>
              <w:t>)</w:t>
            </w:r>
          </w:p>
        </w:tc>
      </w:tr>
      <w:tr w:rsidR="00CC153B" w:rsidTr="00337B95">
        <w:trPr>
          <w:jc w:val="center"/>
        </w:trPr>
        <w:tc>
          <w:tcPr>
            <w:tcW w:w="1440" w:type="dxa"/>
            <w:tcBorders>
              <w:top w:val="nil"/>
              <w:left w:val="nil"/>
              <w:bottom w:val="nil"/>
              <w:right w:val="nil"/>
            </w:tcBorders>
            <w:vAlign w:val="center"/>
          </w:tcPr>
          <w:p w:rsidR="00CC153B" w:rsidRPr="000277B2" w:rsidRDefault="00CC153B" w:rsidP="00337B95">
            <w:pPr>
              <w:spacing w:after="0" w:line="240" w:lineRule="auto"/>
              <w:rPr>
                <w:rFonts w:ascii="Times New Roman" w:eastAsia="Times New Roman" w:hAnsi="Times New Roman" w:cs="Times New Roman"/>
                <w:sz w:val="16"/>
                <w:szCs w:val="16"/>
              </w:rPr>
            </w:pPr>
            <w:r w:rsidRPr="000277B2">
              <w:rPr>
                <w:rFonts w:ascii="Times New Roman" w:eastAsia="Times New Roman" w:hAnsi="Times New Roman" w:cs="Times New Roman"/>
                <w:sz w:val="16"/>
                <w:szCs w:val="16"/>
              </w:rPr>
              <w:t>Firm FE</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r>
      <w:tr w:rsidR="00CC153B" w:rsidTr="00337B95">
        <w:trPr>
          <w:jc w:val="center"/>
        </w:trPr>
        <w:tc>
          <w:tcPr>
            <w:tcW w:w="1440" w:type="dxa"/>
            <w:tcBorders>
              <w:top w:val="nil"/>
              <w:left w:val="nil"/>
              <w:bottom w:val="nil"/>
              <w:right w:val="nil"/>
            </w:tcBorders>
            <w:vAlign w:val="center"/>
          </w:tcPr>
          <w:p w:rsidR="00CC153B" w:rsidRPr="000277B2" w:rsidRDefault="00CC153B" w:rsidP="00337B95">
            <w:pPr>
              <w:spacing w:after="0" w:line="240" w:lineRule="auto"/>
              <w:rPr>
                <w:rFonts w:ascii="Times New Roman" w:eastAsia="Times New Roman" w:hAnsi="Times New Roman" w:cs="Times New Roman"/>
                <w:sz w:val="16"/>
                <w:szCs w:val="16"/>
              </w:rPr>
            </w:pPr>
            <w:r w:rsidRPr="000277B2">
              <w:rPr>
                <w:rFonts w:ascii="Times New Roman" w:eastAsia="Times New Roman" w:hAnsi="Times New Roman" w:cs="Times New Roman"/>
                <w:sz w:val="16"/>
                <w:szCs w:val="16"/>
              </w:rPr>
              <w:t>Industry-Time FE</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r>
      <w:tr w:rsidR="00CC153B" w:rsidTr="00337B95">
        <w:trPr>
          <w:jc w:val="center"/>
        </w:trPr>
        <w:tc>
          <w:tcPr>
            <w:tcW w:w="1440"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c>
          <w:tcPr>
            <w:tcW w:w="1008" w:type="dxa"/>
            <w:tcBorders>
              <w:top w:val="nil"/>
              <w:left w:val="nil"/>
              <w:bottom w:val="nil"/>
              <w:right w:val="nil"/>
            </w:tcBorders>
          </w:tcPr>
          <w:p w:rsidR="00CC153B" w:rsidRPr="00850664" w:rsidRDefault="00CC153B" w:rsidP="00337B95">
            <w:pPr>
              <w:widowControl w:val="0"/>
              <w:autoSpaceDE w:val="0"/>
              <w:autoSpaceDN w:val="0"/>
              <w:adjustRightInd w:val="0"/>
              <w:spacing w:after="0" w:line="240" w:lineRule="auto"/>
              <w:jc w:val="center"/>
              <w:rPr>
                <w:rFonts w:ascii="Times New Roman" w:hAnsi="Times New Roman"/>
                <w:sz w:val="16"/>
                <w:szCs w:val="24"/>
              </w:rPr>
            </w:pPr>
          </w:p>
        </w:tc>
      </w:tr>
      <w:tr w:rsidR="00261674" w:rsidTr="00337B95">
        <w:trPr>
          <w:jc w:val="center"/>
        </w:trPr>
        <w:tc>
          <w:tcPr>
            <w:tcW w:w="1440" w:type="dxa"/>
            <w:tcBorders>
              <w:top w:val="nil"/>
              <w:left w:val="nil"/>
              <w:bottom w:val="nil"/>
              <w:right w:val="nil"/>
            </w:tcBorders>
          </w:tcPr>
          <w:p w:rsidR="00261674" w:rsidRPr="00850664" w:rsidRDefault="00261674" w:rsidP="00337B95">
            <w:pPr>
              <w:widowControl w:val="0"/>
              <w:autoSpaceDE w:val="0"/>
              <w:autoSpaceDN w:val="0"/>
              <w:adjustRightInd w:val="0"/>
              <w:spacing w:after="0" w:line="240" w:lineRule="auto"/>
              <w:rPr>
                <w:rFonts w:ascii="Times New Roman" w:hAnsi="Times New Roman"/>
                <w:sz w:val="16"/>
                <w:szCs w:val="24"/>
              </w:rPr>
            </w:pPr>
            <w:r w:rsidRPr="00850664">
              <w:rPr>
                <w:rFonts w:ascii="Times New Roman" w:hAnsi="Times New Roman"/>
                <w:sz w:val="16"/>
                <w:szCs w:val="24"/>
              </w:rPr>
              <w:t>Observations</w:t>
            </w:r>
          </w:p>
        </w:tc>
        <w:tc>
          <w:tcPr>
            <w:tcW w:w="1008" w:type="dxa"/>
            <w:tcBorders>
              <w:top w:val="nil"/>
              <w:left w:val="nil"/>
              <w:bottom w:val="nil"/>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199,121</w:t>
            </w:r>
          </w:p>
        </w:tc>
        <w:tc>
          <w:tcPr>
            <w:tcW w:w="1008" w:type="dxa"/>
            <w:tcBorders>
              <w:top w:val="nil"/>
              <w:left w:val="nil"/>
              <w:bottom w:val="nil"/>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203,816</w:t>
            </w:r>
          </w:p>
        </w:tc>
        <w:tc>
          <w:tcPr>
            <w:tcW w:w="1008" w:type="dxa"/>
            <w:tcBorders>
              <w:top w:val="nil"/>
              <w:left w:val="nil"/>
              <w:bottom w:val="nil"/>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193,671</w:t>
            </w:r>
          </w:p>
        </w:tc>
        <w:tc>
          <w:tcPr>
            <w:tcW w:w="1008" w:type="dxa"/>
            <w:tcBorders>
              <w:top w:val="nil"/>
              <w:left w:val="nil"/>
              <w:bottom w:val="nil"/>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191,871</w:t>
            </w:r>
          </w:p>
        </w:tc>
        <w:tc>
          <w:tcPr>
            <w:tcW w:w="1008" w:type="dxa"/>
            <w:tcBorders>
              <w:top w:val="nil"/>
              <w:left w:val="nil"/>
              <w:bottom w:val="nil"/>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185,335</w:t>
            </w:r>
          </w:p>
        </w:tc>
        <w:tc>
          <w:tcPr>
            <w:tcW w:w="1008" w:type="dxa"/>
            <w:tcBorders>
              <w:top w:val="nil"/>
              <w:left w:val="nil"/>
              <w:bottom w:val="nil"/>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206,613</w:t>
            </w:r>
          </w:p>
        </w:tc>
        <w:tc>
          <w:tcPr>
            <w:tcW w:w="1008" w:type="dxa"/>
            <w:tcBorders>
              <w:top w:val="nil"/>
              <w:left w:val="nil"/>
              <w:bottom w:val="nil"/>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206,613</w:t>
            </w:r>
          </w:p>
        </w:tc>
        <w:tc>
          <w:tcPr>
            <w:tcW w:w="1008" w:type="dxa"/>
            <w:tcBorders>
              <w:top w:val="nil"/>
              <w:left w:val="nil"/>
              <w:bottom w:val="nil"/>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187,783</w:t>
            </w:r>
          </w:p>
        </w:tc>
        <w:tc>
          <w:tcPr>
            <w:tcW w:w="1008" w:type="dxa"/>
            <w:tcBorders>
              <w:top w:val="nil"/>
              <w:left w:val="nil"/>
              <w:bottom w:val="nil"/>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193,893</w:t>
            </w:r>
          </w:p>
        </w:tc>
        <w:tc>
          <w:tcPr>
            <w:tcW w:w="1008" w:type="dxa"/>
            <w:tcBorders>
              <w:top w:val="nil"/>
              <w:left w:val="nil"/>
              <w:bottom w:val="nil"/>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175,246</w:t>
            </w:r>
          </w:p>
        </w:tc>
        <w:tc>
          <w:tcPr>
            <w:tcW w:w="1008" w:type="dxa"/>
            <w:tcBorders>
              <w:top w:val="nil"/>
              <w:left w:val="nil"/>
              <w:bottom w:val="nil"/>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199,121</w:t>
            </w:r>
          </w:p>
        </w:tc>
      </w:tr>
      <w:tr w:rsidR="00261674" w:rsidTr="000928AC">
        <w:tblPrEx>
          <w:tblBorders>
            <w:bottom w:val="single" w:sz="6" w:space="0" w:color="auto"/>
          </w:tblBorders>
        </w:tblPrEx>
        <w:trPr>
          <w:jc w:val="center"/>
        </w:trPr>
        <w:tc>
          <w:tcPr>
            <w:tcW w:w="1440" w:type="dxa"/>
            <w:tcBorders>
              <w:top w:val="nil"/>
              <w:left w:val="nil"/>
              <w:bottom w:val="double" w:sz="4" w:space="0" w:color="auto"/>
              <w:right w:val="nil"/>
            </w:tcBorders>
          </w:tcPr>
          <w:p w:rsidR="00261674" w:rsidRPr="00850664" w:rsidRDefault="00261674" w:rsidP="00337B95">
            <w:pPr>
              <w:widowControl w:val="0"/>
              <w:autoSpaceDE w:val="0"/>
              <w:autoSpaceDN w:val="0"/>
              <w:adjustRightInd w:val="0"/>
              <w:spacing w:after="0" w:line="240" w:lineRule="auto"/>
              <w:rPr>
                <w:rFonts w:ascii="Times New Roman" w:hAnsi="Times New Roman"/>
                <w:sz w:val="16"/>
                <w:szCs w:val="24"/>
              </w:rPr>
            </w:pPr>
            <w:r w:rsidRPr="00850664">
              <w:rPr>
                <w:rFonts w:ascii="Times New Roman" w:hAnsi="Times New Roman"/>
                <w:sz w:val="16"/>
                <w:szCs w:val="24"/>
              </w:rPr>
              <w:t>R-squared</w:t>
            </w:r>
          </w:p>
        </w:tc>
        <w:tc>
          <w:tcPr>
            <w:tcW w:w="1008" w:type="dxa"/>
            <w:tcBorders>
              <w:top w:val="nil"/>
              <w:left w:val="nil"/>
              <w:bottom w:val="double" w:sz="4" w:space="0" w:color="auto"/>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0.588</w:t>
            </w:r>
          </w:p>
        </w:tc>
        <w:tc>
          <w:tcPr>
            <w:tcW w:w="1008" w:type="dxa"/>
            <w:tcBorders>
              <w:top w:val="nil"/>
              <w:left w:val="nil"/>
              <w:bottom w:val="double" w:sz="4" w:space="0" w:color="auto"/>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0.585</w:t>
            </w:r>
          </w:p>
        </w:tc>
        <w:tc>
          <w:tcPr>
            <w:tcW w:w="1008" w:type="dxa"/>
            <w:tcBorders>
              <w:top w:val="nil"/>
              <w:left w:val="nil"/>
              <w:bottom w:val="double" w:sz="4" w:space="0" w:color="auto"/>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0.587</w:t>
            </w:r>
          </w:p>
        </w:tc>
        <w:tc>
          <w:tcPr>
            <w:tcW w:w="1008" w:type="dxa"/>
            <w:tcBorders>
              <w:top w:val="nil"/>
              <w:left w:val="nil"/>
              <w:bottom w:val="double" w:sz="4" w:space="0" w:color="auto"/>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0.595</w:t>
            </w:r>
          </w:p>
        </w:tc>
        <w:tc>
          <w:tcPr>
            <w:tcW w:w="1008" w:type="dxa"/>
            <w:tcBorders>
              <w:top w:val="nil"/>
              <w:left w:val="nil"/>
              <w:bottom w:val="double" w:sz="4" w:space="0" w:color="auto"/>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0.596</w:t>
            </w:r>
          </w:p>
        </w:tc>
        <w:tc>
          <w:tcPr>
            <w:tcW w:w="1008" w:type="dxa"/>
            <w:tcBorders>
              <w:top w:val="nil"/>
              <w:left w:val="nil"/>
              <w:bottom w:val="double" w:sz="4" w:space="0" w:color="auto"/>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0.583</w:t>
            </w:r>
          </w:p>
        </w:tc>
        <w:tc>
          <w:tcPr>
            <w:tcW w:w="1008" w:type="dxa"/>
            <w:tcBorders>
              <w:top w:val="nil"/>
              <w:left w:val="nil"/>
              <w:bottom w:val="double" w:sz="4" w:space="0" w:color="auto"/>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0.583</w:t>
            </w:r>
          </w:p>
        </w:tc>
        <w:tc>
          <w:tcPr>
            <w:tcW w:w="1008" w:type="dxa"/>
            <w:tcBorders>
              <w:top w:val="nil"/>
              <w:left w:val="nil"/>
              <w:bottom w:val="double" w:sz="4" w:space="0" w:color="auto"/>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0.589</w:t>
            </w:r>
          </w:p>
        </w:tc>
        <w:tc>
          <w:tcPr>
            <w:tcW w:w="1008" w:type="dxa"/>
            <w:tcBorders>
              <w:top w:val="nil"/>
              <w:left w:val="nil"/>
              <w:bottom w:val="double" w:sz="4" w:space="0" w:color="auto"/>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0.583</w:t>
            </w:r>
          </w:p>
        </w:tc>
        <w:tc>
          <w:tcPr>
            <w:tcW w:w="1008" w:type="dxa"/>
            <w:tcBorders>
              <w:top w:val="nil"/>
              <w:left w:val="nil"/>
              <w:bottom w:val="double" w:sz="4" w:space="0" w:color="auto"/>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0.589</w:t>
            </w:r>
          </w:p>
        </w:tc>
        <w:tc>
          <w:tcPr>
            <w:tcW w:w="1008" w:type="dxa"/>
            <w:tcBorders>
              <w:top w:val="nil"/>
              <w:left w:val="nil"/>
              <w:bottom w:val="double" w:sz="4" w:space="0" w:color="auto"/>
              <w:right w:val="nil"/>
            </w:tcBorders>
          </w:tcPr>
          <w:p w:rsidR="00261674" w:rsidRPr="00830739" w:rsidRDefault="00261674" w:rsidP="005A07A2">
            <w:pPr>
              <w:widowControl w:val="0"/>
              <w:autoSpaceDE w:val="0"/>
              <w:autoSpaceDN w:val="0"/>
              <w:adjustRightInd w:val="0"/>
              <w:spacing w:after="0" w:line="240" w:lineRule="auto"/>
              <w:jc w:val="center"/>
              <w:rPr>
                <w:rFonts w:ascii="Times New Roman" w:hAnsi="Times New Roman" w:cs="Times New Roman"/>
                <w:sz w:val="16"/>
                <w:szCs w:val="16"/>
              </w:rPr>
            </w:pPr>
            <w:r w:rsidRPr="00830739">
              <w:rPr>
                <w:rFonts w:ascii="Times New Roman" w:hAnsi="Times New Roman" w:cs="Times New Roman"/>
                <w:sz w:val="16"/>
                <w:szCs w:val="16"/>
              </w:rPr>
              <w:t>0.588</w:t>
            </w:r>
          </w:p>
        </w:tc>
      </w:tr>
    </w:tbl>
    <w:p w:rsidR="00CC153B" w:rsidRDefault="00CC153B" w:rsidP="00CC153B">
      <w:pPr>
        <w:rPr>
          <w:rFonts w:ascii="Times New Roman" w:hAnsi="Times New Roman" w:cs="Times New Roman"/>
          <w:b/>
          <w:sz w:val="20"/>
        </w:rPr>
      </w:pPr>
    </w:p>
    <w:tbl>
      <w:tblPr>
        <w:tblW w:w="12528" w:type="dxa"/>
        <w:jc w:val="center"/>
        <w:tblLayout w:type="fixed"/>
        <w:tblCellMar>
          <w:left w:w="75" w:type="dxa"/>
          <w:right w:w="75" w:type="dxa"/>
        </w:tblCellMar>
        <w:tblLook w:val="0000" w:firstRow="0" w:lastRow="0" w:firstColumn="0" w:lastColumn="0" w:noHBand="0" w:noVBand="0"/>
      </w:tblPr>
      <w:tblGrid>
        <w:gridCol w:w="1440"/>
        <w:gridCol w:w="1008"/>
        <w:gridCol w:w="1008"/>
        <w:gridCol w:w="1008"/>
        <w:gridCol w:w="1008"/>
        <w:gridCol w:w="1008"/>
        <w:gridCol w:w="1008"/>
        <w:gridCol w:w="1008"/>
        <w:gridCol w:w="1008"/>
        <w:gridCol w:w="1008"/>
        <w:gridCol w:w="1008"/>
        <w:gridCol w:w="1008"/>
      </w:tblGrid>
      <w:tr w:rsidR="00CC153B" w:rsidRPr="005A5576" w:rsidTr="000928AC">
        <w:trPr>
          <w:jc w:val="center"/>
        </w:trPr>
        <w:tc>
          <w:tcPr>
            <w:tcW w:w="12528" w:type="dxa"/>
            <w:gridSpan w:val="12"/>
            <w:tcBorders>
              <w:top w:val="double" w:sz="4" w:space="0" w:color="auto"/>
              <w:left w:val="nil"/>
              <w:bottom w:val="nil"/>
              <w:right w:val="nil"/>
            </w:tcBorders>
          </w:tcPr>
          <w:p w:rsidR="00CC153B" w:rsidRPr="005A5576" w:rsidRDefault="00CC153B" w:rsidP="00337B95">
            <w:pPr>
              <w:widowControl w:val="0"/>
              <w:autoSpaceDE w:val="0"/>
              <w:autoSpaceDN w:val="0"/>
              <w:adjustRightInd w:val="0"/>
              <w:spacing w:after="0" w:line="240" w:lineRule="auto"/>
              <w:jc w:val="center"/>
              <w:rPr>
                <w:rFonts w:ascii="Times New Roman" w:hAnsi="Times New Roman" w:cs="Times New Roman"/>
                <w:sz w:val="18"/>
                <w:szCs w:val="16"/>
              </w:rPr>
            </w:pPr>
            <w:r w:rsidRPr="005A5576">
              <w:rPr>
                <w:rFonts w:ascii="Times New Roman" w:hAnsi="Times New Roman" w:cs="Times New Roman"/>
                <w:sz w:val="18"/>
                <w:szCs w:val="16"/>
              </w:rPr>
              <w:t>Panel B</w:t>
            </w:r>
            <w:r w:rsidR="005A5576">
              <w:rPr>
                <w:rFonts w:ascii="Times New Roman" w:hAnsi="Times New Roman" w:cs="Times New Roman"/>
                <w:sz w:val="18"/>
                <w:szCs w:val="16"/>
              </w:rPr>
              <w:t>: non-US</w:t>
            </w:r>
            <w:r w:rsidR="005A5576" w:rsidRPr="00535E57">
              <w:rPr>
                <w:rFonts w:ascii="Times New Roman" w:hAnsi="Times New Roman" w:cs="Times New Roman"/>
                <w:sz w:val="18"/>
                <w:szCs w:val="16"/>
              </w:rPr>
              <w:t xml:space="preserve"> S</w:t>
            </w:r>
            <w:r w:rsidR="005A5576">
              <w:rPr>
                <w:rFonts w:ascii="Times New Roman" w:hAnsi="Times New Roman" w:cs="Times New Roman"/>
                <w:sz w:val="18"/>
                <w:szCs w:val="16"/>
              </w:rPr>
              <w:t>ubs</w:t>
            </w:r>
            <w:r w:rsidR="005A5576" w:rsidRPr="00535E57">
              <w:rPr>
                <w:rFonts w:ascii="Times New Roman" w:hAnsi="Times New Roman" w:cs="Times New Roman"/>
                <w:sz w:val="18"/>
                <w:szCs w:val="16"/>
              </w:rPr>
              <w:t>ample</w:t>
            </w:r>
          </w:p>
        </w:tc>
      </w:tr>
      <w:tr w:rsidR="000928AC" w:rsidRPr="00674D48" w:rsidTr="000928AC">
        <w:trPr>
          <w:trHeight w:val="336"/>
          <w:jc w:val="center"/>
        </w:trPr>
        <w:tc>
          <w:tcPr>
            <w:tcW w:w="1440" w:type="dxa"/>
            <w:tcBorders>
              <w:top w:val="single" w:sz="6" w:space="0" w:color="auto"/>
              <w:left w:val="nil"/>
              <w:bottom w:val="nil"/>
              <w:right w:val="nil"/>
            </w:tcBorders>
          </w:tcPr>
          <w:p w:rsidR="000928AC" w:rsidRPr="00674D48" w:rsidRDefault="000928AC" w:rsidP="00337B95">
            <w:pPr>
              <w:widowControl w:val="0"/>
              <w:autoSpaceDE w:val="0"/>
              <w:autoSpaceDN w:val="0"/>
              <w:adjustRightInd w:val="0"/>
              <w:spacing w:after="0" w:line="240" w:lineRule="auto"/>
              <w:rPr>
                <w:rFonts w:ascii="Times New Roman" w:hAnsi="Times New Roman" w:cs="Times New Roman"/>
                <w:sz w:val="16"/>
                <w:szCs w:val="24"/>
              </w:rPr>
            </w:pPr>
          </w:p>
        </w:tc>
        <w:tc>
          <w:tcPr>
            <w:tcW w:w="11088" w:type="dxa"/>
            <w:gridSpan w:val="11"/>
            <w:tcBorders>
              <w:top w:val="single" w:sz="6" w:space="0" w:color="auto"/>
              <w:left w:val="nil"/>
              <w:bottom w:val="nil"/>
              <w:right w:val="nil"/>
            </w:tcBorders>
            <w:vAlign w:val="center"/>
          </w:tcPr>
          <w:p w:rsidR="000928AC" w:rsidRPr="000277B2" w:rsidRDefault="000928AC" w:rsidP="00337B95">
            <w:pPr>
              <w:widowControl w:val="0"/>
              <w:autoSpaceDE w:val="0"/>
              <w:autoSpaceDN w:val="0"/>
              <w:adjustRightInd w:val="0"/>
              <w:spacing w:after="0" w:line="240" w:lineRule="auto"/>
              <w:jc w:val="center"/>
              <w:rPr>
                <w:rFonts w:ascii="Times New Roman" w:hAnsi="Times New Roman" w:cs="Times New Roman"/>
                <w:sz w:val="16"/>
                <w:szCs w:val="16"/>
              </w:rPr>
            </w:pPr>
            <w:r w:rsidRPr="002C77BC">
              <w:rPr>
                <w:rFonts w:ascii="Times New Roman" w:hAnsi="Times New Roman" w:cs="Times New Roman"/>
                <w:sz w:val="18"/>
                <w:szCs w:val="16"/>
              </w:rPr>
              <w:t>Country Characteristics (COUNTRY)</w:t>
            </w:r>
          </w:p>
        </w:tc>
      </w:tr>
      <w:tr w:rsidR="00CC153B" w:rsidRPr="00674D48" w:rsidTr="00337B95">
        <w:trPr>
          <w:jc w:val="center"/>
        </w:trPr>
        <w:tc>
          <w:tcPr>
            <w:tcW w:w="1440" w:type="dxa"/>
            <w:tcBorders>
              <w:top w:val="nil"/>
              <w:left w:val="nil"/>
              <w:bottom w:val="single" w:sz="6" w:space="0" w:color="auto"/>
              <w:right w:val="nil"/>
            </w:tcBorders>
          </w:tcPr>
          <w:p w:rsidR="00CC153B" w:rsidRPr="00674D48" w:rsidRDefault="00050F48" w:rsidP="00337B95">
            <w:pPr>
              <w:widowControl w:val="0"/>
              <w:autoSpaceDE w:val="0"/>
              <w:autoSpaceDN w:val="0"/>
              <w:adjustRightInd w:val="0"/>
              <w:spacing w:after="0" w:line="240" w:lineRule="auto"/>
              <w:rPr>
                <w:rFonts w:ascii="Times New Roman" w:hAnsi="Times New Roman" w:cs="Times New Roman"/>
                <w:sz w:val="16"/>
                <w:szCs w:val="24"/>
              </w:rPr>
            </w:pPr>
            <w:r w:rsidRPr="00850664">
              <w:rPr>
                <w:rFonts w:ascii="Times New Roman" w:hAnsi="Times New Roman"/>
                <w:sz w:val="16"/>
                <w:szCs w:val="24"/>
              </w:rPr>
              <w:t>V</w:t>
            </w:r>
            <w:r>
              <w:rPr>
                <w:rFonts w:ascii="Times New Roman" w:hAnsi="Times New Roman"/>
                <w:sz w:val="16"/>
                <w:szCs w:val="24"/>
              </w:rPr>
              <w:t>ariables</w:t>
            </w:r>
          </w:p>
        </w:tc>
        <w:tc>
          <w:tcPr>
            <w:tcW w:w="1008" w:type="dxa"/>
            <w:tcBorders>
              <w:top w:val="nil"/>
              <w:left w:val="nil"/>
              <w:bottom w:val="single" w:sz="6" w:space="0" w:color="auto"/>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AD</w:t>
            </w:r>
          </w:p>
        </w:tc>
        <w:tc>
          <w:tcPr>
            <w:tcW w:w="1008" w:type="dxa"/>
            <w:tcBorders>
              <w:top w:val="nil"/>
              <w:left w:val="nil"/>
              <w:bottom w:val="single" w:sz="6" w:space="0" w:color="auto"/>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AS</w:t>
            </w:r>
          </w:p>
        </w:tc>
        <w:tc>
          <w:tcPr>
            <w:tcW w:w="1008" w:type="dxa"/>
            <w:tcBorders>
              <w:top w:val="nil"/>
              <w:left w:val="nil"/>
              <w:bottom w:val="single" w:sz="6" w:space="0" w:color="auto"/>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DISC</w:t>
            </w:r>
          </w:p>
        </w:tc>
        <w:tc>
          <w:tcPr>
            <w:tcW w:w="1008" w:type="dxa"/>
            <w:tcBorders>
              <w:top w:val="nil"/>
              <w:left w:val="nil"/>
              <w:bottom w:val="single" w:sz="6" w:space="0" w:color="auto"/>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ACCT</w:t>
            </w:r>
          </w:p>
        </w:tc>
        <w:tc>
          <w:tcPr>
            <w:tcW w:w="1008" w:type="dxa"/>
            <w:tcBorders>
              <w:top w:val="nil"/>
              <w:left w:val="nil"/>
              <w:bottom w:val="single" w:sz="6" w:space="0" w:color="auto"/>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EM</w:t>
            </w:r>
          </w:p>
        </w:tc>
        <w:tc>
          <w:tcPr>
            <w:tcW w:w="1008" w:type="dxa"/>
            <w:tcBorders>
              <w:top w:val="nil"/>
              <w:left w:val="nil"/>
              <w:bottom w:val="single" w:sz="6" w:space="0" w:color="auto"/>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UK</w:t>
            </w:r>
          </w:p>
        </w:tc>
        <w:tc>
          <w:tcPr>
            <w:tcW w:w="1008" w:type="dxa"/>
            <w:tcBorders>
              <w:top w:val="nil"/>
              <w:left w:val="nil"/>
              <w:bottom w:val="single" w:sz="6" w:space="0" w:color="auto"/>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0277B2">
              <w:rPr>
                <w:rFonts w:ascii="Times New Roman" w:hAnsi="Times New Roman" w:cs="Times New Roman"/>
                <w:sz w:val="16"/>
                <w:szCs w:val="16"/>
              </w:rPr>
              <w:t>RULE</w:t>
            </w:r>
          </w:p>
        </w:tc>
        <w:tc>
          <w:tcPr>
            <w:tcW w:w="1008" w:type="dxa"/>
            <w:tcBorders>
              <w:top w:val="nil"/>
              <w:left w:val="nil"/>
              <w:bottom w:val="single" w:sz="6" w:space="0" w:color="auto"/>
              <w:right w:val="nil"/>
            </w:tcBorders>
          </w:tcPr>
          <w:p w:rsidR="00CC153B" w:rsidRPr="004E3829"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EQUITY</w:t>
            </w:r>
          </w:p>
        </w:tc>
        <w:tc>
          <w:tcPr>
            <w:tcW w:w="1008" w:type="dxa"/>
            <w:tcBorders>
              <w:top w:val="nil"/>
              <w:left w:val="nil"/>
              <w:bottom w:val="single" w:sz="6" w:space="0" w:color="auto"/>
              <w:right w:val="nil"/>
            </w:tcBorders>
          </w:tcPr>
          <w:p w:rsidR="00CC153B" w:rsidRPr="004E3829"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CREDIT</w:t>
            </w:r>
          </w:p>
        </w:tc>
        <w:tc>
          <w:tcPr>
            <w:tcW w:w="1008" w:type="dxa"/>
            <w:tcBorders>
              <w:top w:val="nil"/>
              <w:left w:val="nil"/>
              <w:bottom w:val="single" w:sz="6" w:space="0" w:color="auto"/>
              <w:right w:val="nil"/>
            </w:tcBorders>
          </w:tcPr>
          <w:p w:rsidR="00CC153B" w:rsidRPr="004E3829"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FD</w:t>
            </w:r>
          </w:p>
        </w:tc>
        <w:tc>
          <w:tcPr>
            <w:tcW w:w="1008" w:type="dxa"/>
            <w:tcBorders>
              <w:top w:val="nil"/>
              <w:left w:val="nil"/>
              <w:bottom w:val="single" w:sz="6" w:space="0" w:color="auto"/>
              <w:right w:val="nil"/>
            </w:tcBorders>
          </w:tcPr>
          <w:p w:rsidR="00CC153B" w:rsidRPr="004E3829"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4E3829">
              <w:rPr>
                <w:rFonts w:ascii="Times New Roman" w:hAnsi="Times New Roman" w:cs="Times New Roman"/>
                <w:sz w:val="16"/>
                <w:szCs w:val="16"/>
              </w:rPr>
              <w:t>IPO</w:t>
            </w:r>
          </w:p>
        </w:tc>
      </w:tr>
      <w:tr w:rsidR="00CC153B" w:rsidRPr="00674D48" w:rsidTr="00337B95">
        <w:trPr>
          <w:jc w:val="center"/>
        </w:trPr>
        <w:tc>
          <w:tcPr>
            <w:tcW w:w="1440"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r>
      <w:tr w:rsidR="005A07A2" w:rsidRPr="005848B4" w:rsidTr="00337B95">
        <w:trPr>
          <w:jc w:val="center"/>
        </w:trPr>
        <w:tc>
          <w:tcPr>
            <w:tcW w:w="1440" w:type="dxa"/>
            <w:tcBorders>
              <w:top w:val="nil"/>
              <w:left w:val="nil"/>
              <w:bottom w:val="nil"/>
              <w:right w:val="nil"/>
            </w:tcBorders>
          </w:tcPr>
          <w:p w:rsidR="005A07A2" w:rsidRPr="005848B4" w:rsidRDefault="005A07A2" w:rsidP="00337B9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q</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0.0680**</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0.112***</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0.0704*</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0.0269</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0.177***</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0.0938***</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0.0968***</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0.131***</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0.0693**</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0.113***</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0.102***</w:t>
            </w:r>
          </w:p>
        </w:tc>
      </w:tr>
      <w:tr w:rsidR="005A07A2" w:rsidRPr="005848B4" w:rsidTr="00337B95">
        <w:trPr>
          <w:trHeight w:val="315"/>
          <w:jc w:val="center"/>
        </w:trPr>
        <w:tc>
          <w:tcPr>
            <w:tcW w:w="1440" w:type="dxa"/>
            <w:tcBorders>
              <w:top w:val="nil"/>
              <w:left w:val="nil"/>
              <w:bottom w:val="nil"/>
              <w:right w:val="nil"/>
            </w:tcBorders>
          </w:tcPr>
          <w:p w:rsidR="005A07A2" w:rsidRPr="005848B4" w:rsidRDefault="005A07A2" w:rsidP="00337B95">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(0.0336)</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(0.0305)</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(0.0363)</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(0.119)</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(0.0242)</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(0.0196)</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(0.0221)</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(0.0191)</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(0.0276)</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(0.0241)</w:t>
            </w:r>
          </w:p>
        </w:tc>
        <w:tc>
          <w:tcPr>
            <w:tcW w:w="1008" w:type="dxa"/>
            <w:tcBorders>
              <w:top w:val="nil"/>
              <w:left w:val="nil"/>
              <w:bottom w:val="nil"/>
              <w:right w:val="nil"/>
            </w:tcBorders>
          </w:tcPr>
          <w:p w:rsidR="005A07A2" w:rsidRPr="00F33296" w:rsidRDefault="005A07A2" w:rsidP="005A07A2">
            <w:pPr>
              <w:widowControl w:val="0"/>
              <w:autoSpaceDE w:val="0"/>
              <w:autoSpaceDN w:val="0"/>
              <w:adjustRightInd w:val="0"/>
              <w:spacing w:after="0" w:line="240" w:lineRule="auto"/>
              <w:jc w:val="center"/>
              <w:rPr>
                <w:rFonts w:ascii="Times New Roman" w:hAnsi="Times New Roman" w:cs="Times New Roman"/>
                <w:sz w:val="16"/>
                <w:szCs w:val="16"/>
              </w:rPr>
            </w:pPr>
            <w:r w:rsidRPr="00F33296">
              <w:rPr>
                <w:rFonts w:ascii="Times New Roman" w:hAnsi="Times New Roman" w:cs="Times New Roman"/>
                <w:sz w:val="16"/>
                <w:szCs w:val="16"/>
              </w:rPr>
              <w:t>(0.0226)</w:t>
            </w:r>
          </w:p>
        </w:tc>
      </w:tr>
      <w:tr w:rsidR="00CC153B" w:rsidRPr="005848B4" w:rsidTr="00337B95">
        <w:trPr>
          <w:jc w:val="center"/>
        </w:trPr>
        <w:tc>
          <w:tcPr>
            <w:tcW w:w="1440" w:type="dxa"/>
            <w:tcBorders>
              <w:top w:val="nil"/>
              <w:left w:val="nil"/>
              <w:bottom w:val="nil"/>
              <w:right w:val="nil"/>
            </w:tcBorders>
          </w:tcPr>
          <w:p w:rsidR="00CC153B" w:rsidRPr="005848B4" w:rsidRDefault="00CC153B" w:rsidP="00337B95">
            <w:pPr>
              <w:widowControl w:val="0"/>
              <w:autoSpaceDE w:val="0"/>
              <w:autoSpaceDN w:val="0"/>
              <w:adjustRightInd w:val="0"/>
              <w:spacing w:after="0" w:line="240" w:lineRule="auto"/>
              <w:rPr>
                <w:rFonts w:ascii="Times New Roman" w:hAnsi="Times New Roman" w:cs="Times New Roman"/>
                <w:sz w:val="16"/>
                <w:szCs w:val="16"/>
              </w:rPr>
            </w:pPr>
            <w:r w:rsidRPr="005848B4">
              <w:rPr>
                <w:rFonts w:ascii="Times New Roman" w:hAnsi="Times New Roman" w:cs="Times New Roman"/>
                <w:sz w:val="16"/>
                <w:szCs w:val="16"/>
              </w:rPr>
              <w:t>COUNTRY×q</w:t>
            </w:r>
          </w:p>
        </w:tc>
        <w:tc>
          <w:tcPr>
            <w:tcW w:w="1008" w:type="dxa"/>
            <w:tcBorders>
              <w:top w:val="nil"/>
              <w:left w:val="nil"/>
              <w:bottom w:val="nil"/>
              <w:right w:val="nil"/>
            </w:tcBorders>
          </w:tcPr>
          <w:p w:rsidR="00CC153B" w:rsidRPr="005848B4" w:rsidRDefault="00CC153B" w:rsidP="005A07A2">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0.015</w:t>
            </w:r>
            <w:r w:rsidR="005A07A2">
              <w:rPr>
                <w:rFonts w:ascii="Times New Roman" w:hAnsi="Times New Roman" w:cs="Times New Roman"/>
                <w:sz w:val="16"/>
                <w:szCs w:val="24"/>
              </w:rPr>
              <w:t>8</w:t>
            </w:r>
            <w:r w:rsidRPr="005848B4">
              <w:rPr>
                <w:rFonts w:ascii="Times New Roman" w:hAnsi="Times New Roman" w:cs="Times New Roman"/>
                <w:sz w:val="16"/>
                <w:szCs w:val="24"/>
              </w:rPr>
              <w:t>**</w:t>
            </w:r>
          </w:p>
        </w:tc>
        <w:tc>
          <w:tcPr>
            <w:tcW w:w="1008" w:type="dxa"/>
            <w:tcBorders>
              <w:top w:val="nil"/>
              <w:left w:val="nil"/>
              <w:bottom w:val="nil"/>
              <w:right w:val="nil"/>
            </w:tcBorders>
          </w:tcPr>
          <w:p w:rsidR="00CC153B" w:rsidRPr="005848B4" w:rsidRDefault="00CC153B" w:rsidP="005A07A2">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0.02</w:t>
            </w:r>
            <w:r w:rsidR="005A07A2">
              <w:rPr>
                <w:rFonts w:ascii="Times New Roman" w:hAnsi="Times New Roman" w:cs="Times New Roman"/>
                <w:sz w:val="16"/>
                <w:szCs w:val="24"/>
              </w:rPr>
              <w:t>8</w:t>
            </w:r>
            <w:r w:rsidRPr="005848B4">
              <w:rPr>
                <w:rFonts w:ascii="Times New Roman" w:hAnsi="Times New Roman" w:cs="Times New Roman"/>
                <w:sz w:val="16"/>
                <w:szCs w:val="24"/>
              </w:rPr>
              <w:t>1</w:t>
            </w:r>
          </w:p>
        </w:tc>
        <w:tc>
          <w:tcPr>
            <w:tcW w:w="1008" w:type="dxa"/>
            <w:tcBorders>
              <w:top w:val="nil"/>
              <w:left w:val="nil"/>
              <w:bottom w:val="nil"/>
              <w:right w:val="nil"/>
            </w:tcBorders>
          </w:tcPr>
          <w:p w:rsidR="00CC153B" w:rsidRPr="005848B4" w:rsidRDefault="00CC153B" w:rsidP="005A07A2">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0.006</w:t>
            </w:r>
            <w:r w:rsidR="005A07A2">
              <w:rPr>
                <w:rFonts w:ascii="Times New Roman" w:hAnsi="Times New Roman" w:cs="Times New Roman"/>
                <w:sz w:val="16"/>
                <w:szCs w:val="24"/>
              </w:rPr>
              <w:t>5</w:t>
            </w:r>
            <w:r w:rsidRPr="005848B4">
              <w:rPr>
                <w:rFonts w:ascii="Times New Roman" w:hAnsi="Times New Roman" w:cs="Times New Roman"/>
                <w:sz w:val="16"/>
                <w:szCs w:val="24"/>
              </w:rPr>
              <w:t>***</w:t>
            </w:r>
          </w:p>
        </w:tc>
        <w:tc>
          <w:tcPr>
            <w:tcW w:w="1008" w:type="dxa"/>
            <w:tcBorders>
              <w:top w:val="nil"/>
              <w:left w:val="nil"/>
              <w:bottom w:val="nil"/>
              <w:right w:val="nil"/>
            </w:tcBorders>
          </w:tcPr>
          <w:p w:rsidR="00CC153B" w:rsidRPr="005848B4" w:rsidRDefault="005A07A2" w:rsidP="00337B95">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0.0014</w:t>
            </w:r>
            <w:r w:rsidR="00CC153B" w:rsidRPr="005848B4">
              <w:rPr>
                <w:rFonts w:ascii="Times New Roman" w:hAnsi="Times New Roman" w:cs="Times New Roman"/>
                <w:sz w:val="16"/>
                <w:szCs w:val="24"/>
              </w:rPr>
              <w:t>**</w:t>
            </w:r>
          </w:p>
        </w:tc>
        <w:tc>
          <w:tcPr>
            <w:tcW w:w="1008" w:type="dxa"/>
            <w:tcBorders>
              <w:top w:val="nil"/>
              <w:left w:val="nil"/>
              <w:bottom w:val="nil"/>
              <w:right w:val="nil"/>
            </w:tcBorders>
          </w:tcPr>
          <w:p w:rsidR="00CC153B" w:rsidRPr="005848B4" w:rsidRDefault="00CC153B" w:rsidP="005A07A2">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-0.004</w:t>
            </w:r>
            <w:r w:rsidR="005A07A2">
              <w:rPr>
                <w:rFonts w:ascii="Times New Roman" w:hAnsi="Times New Roman" w:cs="Times New Roman"/>
                <w:sz w:val="16"/>
                <w:szCs w:val="24"/>
              </w:rPr>
              <w:t>9</w:t>
            </w:r>
            <w:r w:rsidRPr="005848B4">
              <w:rPr>
                <w:rFonts w:ascii="Times New Roman" w:hAnsi="Times New Roman" w:cs="Times New Roman"/>
                <w:sz w:val="16"/>
                <w:szCs w:val="24"/>
              </w:rPr>
              <w:t>***</w:t>
            </w:r>
          </w:p>
        </w:tc>
        <w:tc>
          <w:tcPr>
            <w:tcW w:w="1008" w:type="dxa"/>
            <w:tcBorders>
              <w:top w:val="nil"/>
              <w:left w:val="nil"/>
              <w:bottom w:val="nil"/>
              <w:right w:val="nil"/>
            </w:tcBorders>
          </w:tcPr>
          <w:p w:rsidR="00CC153B" w:rsidRPr="005848B4" w:rsidRDefault="00CC153B" w:rsidP="005A07A2">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0.04</w:t>
            </w:r>
            <w:r w:rsidR="005A07A2">
              <w:rPr>
                <w:rFonts w:ascii="Times New Roman" w:hAnsi="Times New Roman" w:cs="Times New Roman"/>
                <w:sz w:val="16"/>
                <w:szCs w:val="24"/>
              </w:rPr>
              <w:t>55</w:t>
            </w:r>
            <w:r w:rsidRPr="005848B4">
              <w:rPr>
                <w:rFonts w:ascii="Times New Roman" w:hAnsi="Times New Roman" w:cs="Times New Roman"/>
                <w:sz w:val="16"/>
                <w:szCs w:val="24"/>
              </w:rPr>
              <w:t>**</w:t>
            </w:r>
          </w:p>
        </w:tc>
        <w:tc>
          <w:tcPr>
            <w:tcW w:w="1008" w:type="dxa"/>
            <w:tcBorders>
              <w:top w:val="nil"/>
              <w:left w:val="nil"/>
              <w:bottom w:val="nil"/>
              <w:right w:val="nil"/>
            </w:tcBorders>
          </w:tcPr>
          <w:p w:rsidR="00CC153B" w:rsidRPr="005848B4" w:rsidRDefault="00CC153B" w:rsidP="005A07A2">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0.02</w:t>
            </w:r>
            <w:r w:rsidR="005A07A2">
              <w:rPr>
                <w:rFonts w:ascii="Times New Roman" w:hAnsi="Times New Roman" w:cs="Times New Roman"/>
                <w:sz w:val="16"/>
                <w:szCs w:val="24"/>
              </w:rPr>
              <w:t>20</w:t>
            </w:r>
            <w:r w:rsidRPr="005848B4">
              <w:rPr>
                <w:rFonts w:ascii="Times New Roman" w:hAnsi="Times New Roman" w:cs="Times New Roman"/>
                <w:sz w:val="16"/>
                <w:szCs w:val="24"/>
              </w:rPr>
              <w:t>**</w:t>
            </w:r>
          </w:p>
        </w:tc>
        <w:tc>
          <w:tcPr>
            <w:tcW w:w="1008" w:type="dxa"/>
            <w:tcBorders>
              <w:top w:val="nil"/>
              <w:left w:val="nil"/>
              <w:bottom w:val="nil"/>
              <w:right w:val="nil"/>
            </w:tcBorders>
          </w:tcPr>
          <w:p w:rsidR="00CC153B" w:rsidRPr="005848B4" w:rsidRDefault="005A07A2" w:rsidP="005A07A2">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2</w:t>
            </w:r>
            <w:r w:rsidR="00CC153B" w:rsidRPr="005848B4">
              <w:rPr>
                <w:rFonts w:ascii="Times New Roman" w:hAnsi="Times New Roman" w:cs="Times New Roman"/>
                <w:sz w:val="16"/>
                <w:szCs w:val="24"/>
              </w:rPr>
              <w:t>.</w:t>
            </w:r>
            <w:r>
              <w:rPr>
                <w:rFonts w:ascii="Times New Roman" w:hAnsi="Times New Roman" w:cs="Times New Roman"/>
                <w:sz w:val="16"/>
                <w:szCs w:val="24"/>
              </w:rPr>
              <w:t>50</w:t>
            </w:r>
            <w:r w:rsidR="00CC153B" w:rsidRPr="005848B4">
              <w:rPr>
                <w:rFonts w:ascii="Times New Roman" w:hAnsi="Times New Roman" w:cs="Times New Roman"/>
                <w:sz w:val="16"/>
                <w:szCs w:val="24"/>
              </w:rPr>
              <w:t>e-06</w:t>
            </w:r>
          </w:p>
        </w:tc>
        <w:tc>
          <w:tcPr>
            <w:tcW w:w="1008" w:type="dxa"/>
            <w:tcBorders>
              <w:top w:val="nil"/>
              <w:left w:val="nil"/>
              <w:bottom w:val="nil"/>
              <w:right w:val="nil"/>
            </w:tcBorders>
          </w:tcPr>
          <w:p w:rsidR="00CC153B" w:rsidRPr="005848B4" w:rsidRDefault="00CC153B" w:rsidP="00AA35CC">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0.000</w:t>
            </w:r>
            <w:r w:rsidR="00AA35CC">
              <w:rPr>
                <w:rFonts w:ascii="Times New Roman" w:hAnsi="Times New Roman" w:cs="Times New Roman"/>
                <w:sz w:val="16"/>
                <w:szCs w:val="24"/>
              </w:rPr>
              <w:t>5</w:t>
            </w:r>
            <w:r w:rsidRPr="005848B4">
              <w:rPr>
                <w:rFonts w:ascii="Times New Roman" w:hAnsi="Times New Roman" w:cs="Times New Roman"/>
                <w:sz w:val="16"/>
                <w:szCs w:val="24"/>
              </w:rPr>
              <w:t>***</w:t>
            </w:r>
          </w:p>
        </w:tc>
        <w:tc>
          <w:tcPr>
            <w:tcW w:w="1008" w:type="dxa"/>
            <w:tcBorders>
              <w:top w:val="nil"/>
              <w:left w:val="nil"/>
              <w:bottom w:val="nil"/>
              <w:right w:val="nil"/>
            </w:tcBorders>
          </w:tcPr>
          <w:p w:rsidR="00CC153B" w:rsidRPr="005848B4" w:rsidRDefault="00CC153B" w:rsidP="00AA35CC">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5.</w:t>
            </w:r>
            <w:r w:rsidR="00AA35CC">
              <w:rPr>
                <w:rFonts w:ascii="Times New Roman" w:hAnsi="Times New Roman" w:cs="Times New Roman"/>
                <w:sz w:val="16"/>
                <w:szCs w:val="24"/>
              </w:rPr>
              <w:t>95</w:t>
            </w:r>
            <w:r w:rsidRPr="005848B4">
              <w:rPr>
                <w:rFonts w:ascii="Times New Roman" w:hAnsi="Times New Roman" w:cs="Times New Roman"/>
                <w:sz w:val="16"/>
                <w:szCs w:val="24"/>
              </w:rPr>
              <w:t>e-05</w:t>
            </w:r>
            <w:r w:rsidR="00AA35CC" w:rsidRPr="005848B4">
              <w:rPr>
                <w:rFonts w:ascii="Times New Roman" w:hAnsi="Times New Roman" w:cs="Times New Roman"/>
                <w:sz w:val="16"/>
                <w:szCs w:val="24"/>
              </w:rPr>
              <w:t>*</w:t>
            </w:r>
          </w:p>
        </w:tc>
        <w:tc>
          <w:tcPr>
            <w:tcW w:w="1008" w:type="dxa"/>
            <w:tcBorders>
              <w:top w:val="nil"/>
              <w:left w:val="nil"/>
              <w:bottom w:val="nil"/>
              <w:right w:val="nil"/>
            </w:tcBorders>
          </w:tcPr>
          <w:p w:rsidR="00CC153B" w:rsidRPr="005848B4" w:rsidRDefault="00CC153B" w:rsidP="00AA35CC">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0.003</w:t>
            </w:r>
            <w:r w:rsidR="00AA35CC">
              <w:rPr>
                <w:rFonts w:ascii="Times New Roman" w:hAnsi="Times New Roman" w:cs="Times New Roman"/>
                <w:sz w:val="16"/>
                <w:szCs w:val="24"/>
              </w:rPr>
              <w:t>6</w:t>
            </w:r>
          </w:p>
        </w:tc>
      </w:tr>
      <w:tr w:rsidR="00CC153B" w:rsidRPr="005848B4" w:rsidTr="00337B95">
        <w:trPr>
          <w:trHeight w:val="387"/>
          <w:jc w:val="center"/>
        </w:trPr>
        <w:tc>
          <w:tcPr>
            <w:tcW w:w="1440" w:type="dxa"/>
            <w:tcBorders>
              <w:top w:val="nil"/>
              <w:left w:val="nil"/>
              <w:bottom w:val="nil"/>
              <w:right w:val="nil"/>
            </w:tcBorders>
          </w:tcPr>
          <w:p w:rsidR="00CC153B" w:rsidRPr="005848B4" w:rsidRDefault="00CC153B" w:rsidP="00337B95">
            <w:pPr>
              <w:widowControl w:val="0"/>
              <w:autoSpaceDE w:val="0"/>
              <w:autoSpaceDN w:val="0"/>
              <w:adjustRightInd w:val="0"/>
              <w:spacing w:after="0" w:line="240" w:lineRule="auto"/>
              <w:rPr>
                <w:rFonts w:ascii="Times New Roman" w:hAnsi="Times New Roman" w:cs="Times New Roman"/>
                <w:sz w:val="16"/>
                <w:szCs w:val="24"/>
              </w:rPr>
            </w:pPr>
          </w:p>
        </w:tc>
        <w:tc>
          <w:tcPr>
            <w:tcW w:w="1008" w:type="dxa"/>
            <w:tcBorders>
              <w:top w:val="nil"/>
              <w:left w:val="nil"/>
              <w:bottom w:val="nil"/>
              <w:right w:val="nil"/>
            </w:tcBorders>
          </w:tcPr>
          <w:p w:rsidR="00CC153B" w:rsidRPr="005848B4" w:rsidRDefault="00CC153B" w:rsidP="005A07A2">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(0.00</w:t>
            </w:r>
            <w:r w:rsidR="005A07A2">
              <w:rPr>
                <w:rFonts w:ascii="Times New Roman" w:hAnsi="Times New Roman" w:cs="Times New Roman"/>
                <w:sz w:val="16"/>
                <w:szCs w:val="24"/>
              </w:rPr>
              <w:t>747</w:t>
            </w:r>
            <w:r w:rsidRPr="005848B4">
              <w:rPr>
                <w:rFonts w:ascii="Times New Roman" w:hAnsi="Times New Roman" w:cs="Times New Roman"/>
                <w:sz w:val="16"/>
                <w:szCs w:val="24"/>
              </w:rPr>
              <w:t>)</w:t>
            </w:r>
          </w:p>
        </w:tc>
        <w:tc>
          <w:tcPr>
            <w:tcW w:w="1008" w:type="dxa"/>
            <w:tcBorders>
              <w:top w:val="nil"/>
              <w:left w:val="nil"/>
              <w:bottom w:val="nil"/>
              <w:right w:val="nil"/>
            </w:tcBorders>
          </w:tcPr>
          <w:p w:rsidR="00CC153B" w:rsidRPr="005848B4"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(0.0186)</w:t>
            </w:r>
          </w:p>
        </w:tc>
        <w:tc>
          <w:tcPr>
            <w:tcW w:w="1008" w:type="dxa"/>
            <w:tcBorders>
              <w:top w:val="nil"/>
              <w:left w:val="nil"/>
              <w:bottom w:val="nil"/>
              <w:right w:val="nil"/>
            </w:tcBorders>
          </w:tcPr>
          <w:p w:rsidR="00CC153B" w:rsidRPr="005848B4" w:rsidRDefault="00CC153B" w:rsidP="00122B94">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(0.0029)</w:t>
            </w:r>
          </w:p>
        </w:tc>
        <w:tc>
          <w:tcPr>
            <w:tcW w:w="1008" w:type="dxa"/>
            <w:tcBorders>
              <w:top w:val="nil"/>
              <w:left w:val="nil"/>
              <w:bottom w:val="nil"/>
              <w:right w:val="nil"/>
            </w:tcBorders>
          </w:tcPr>
          <w:p w:rsidR="00CC153B" w:rsidRPr="005848B4" w:rsidRDefault="00CC153B" w:rsidP="005A07A2">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(0.000</w:t>
            </w:r>
            <w:r w:rsidR="005A07A2">
              <w:rPr>
                <w:rFonts w:ascii="Times New Roman" w:hAnsi="Times New Roman" w:cs="Times New Roman"/>
                <w:sz w:val="16"/>
                <w:szCs w:val="24"/>
              </w:rPr>
              <w:t>7</w:t>
            </w:r>
            <w:r w:rsidRPr="005848B4">
              <w:rPr>
                <w:rFonts w:ascii="Times New Roman" w:hAnsi="Times New Roman" w:cs="Times New Roman"/>
                <w:sz w:val="16"/>
                <w:szCs w:val="24"/>
              </w:rPr>
              <w:t>)</w:t>
            </w:r>
          </w:p>
        </w:tc>
        <w:tc>
          <w:tcPr>
            <w:tcW w:w="1008" w:type="dxa"/>
            <w:tcBorders>
              <w:top w:val="nil"/>
              <w:left w:val="nil"/>
              <w:bottom w:val="nil"/>
              <w:right w:val="nil"/>
            </w:tcBorders>
          </w:tcPr>
          <w:p w:rsidR="00CC153B" w:rsidRPr="005848B4" w:rsidRDefault="00CC153B" w:rsidP="005A07A2">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(0.00</w:t>
            </w:r>
            <w:r w:rsidR="005A07A2">
              <w:rPr>
                <w:rFonts w:ascii="Times New Roman" w:hAnsi="Times New Roman" w:cs="Times New Roman"/>
                <w:sz w:val="16"/>
                <w:szCs w:val="24"/>
              </w:rPr>
              <w:t>1</w:t>
            </w:r>
            <w:r w:rsidRPr="005848B4">
              <w:rPr>
                <w:rFonts w:ascii="Times New Roman" w:hAnsi="Times New Roman" w:cs="Times New Roman"/>
                <w:sz w:val="16"/>
                <w:szCs w:val="24"/>
              </w:rPr>
              <w:t>7)</w:t>
            </w:r>
          </w:p>
        </w:tc>
        <w:tc>
          <w:tcPr>
            <w:tcW w:w="1008" w:type="dxa"/>
            <w:tcBorders>
              <w:top w:val="nil"/>
              <w:left w:val="nil"/>
              <w:bottom w:val="nil"/>
              <w:right w:val="nil"/>
            </w:tcBorders>
          </w:tcPr>
          <w:p w:rsidR="00CC153B" w:rsidRPr="005848B4" w:rsidRDefault="00CC153B" w:rsidP="005A07A2">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(0.0</w:t>
            </w:r>
            <w:r w:rsidR="005A07A2">
              <w:rPr>
                <w:rFonts w:ascii="Times New Roman" w:hAnsi="Times New Roman" w:cs="Times New Roman"/>
                <w:sz w:val="16"/>
                <w:szCs w:val="24"/>
              </w:rPr>
              <w:t>225</w:t>
            </w:r>
            <w:r w:rsidRPr="005848B4">
              <w:rPr>
                <w:rFonts w:ascii="Times New Roman" w:hAnsi="Times New Roman" w:cs="Times New Roman"/>
                <w:sz w:val="16"/>
                <w:szCs w:val="24"/>
              </w:rPr>
              <w:t>)</w:t>
            </w:r>
          </w:p>
        </w:tc>
        <w:tc>
          <w:tcPr>
            <w:tcW w:w="1008" w:type="dxa"/>
            <w:tcBorders>
              <w:top w:val="nil"/>
              <w:left w:val="nil"/>
              <w:bottom w:val="nil"/>
              <w:right w:val="nil"/>
            </w:tcBorders>
          </w:tcPr>
          <w:p w:rsidR="00CC153B" w:rsidRPr="005848B4" w:rsidRDefault="00CC153B" w:rsidP="005A07A2">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(0.0</w:t>
            </w:r>
            <w:r w:rsidR="005A07A2">
              <w:rPr>
                <w:rFonts w:ascii="Times New Roman" w:hAnsi="Times New Roman" w:cs="Times New Roman"/>
                <w:sz w:val="16"/>
                <w:szCs w:val="24"/>
              </w:rPr>
              <w:t>110</w:t>
            </w:r>
            <w:r w:rsidRPr="005848B4">
              <w:rPr>
                <w:rFonts w:ascii="Times New Roman" w:hAnsi="Times New Roman" w:cs="Times New Roman"/>
                <w:sz w:val="16"/>
                <w:szCs w:val="24"/>
              </w:rPr>
              <w:t>)</w:t>
            </w:r>
          </w:p>
        </w:tc>
        <w:tc>
          <w:tcPr>
            <w:tcW w:w="1008" w:type="dxa"/>
            <w:tcBorders>
              <w:top w:val="nil"/>
              <w:left w:val="nil"/>
              <w:bottom w:val="nil"/>
              <w:right w:val="nil"/>
            </w:tcBorders>
          </w:tcPr>
          <w:p w:rsidR="00CC153B" w:rsidRPr="005848B4" w:rsidRDefault="00AA35CC" w:rsidP="00AA35CC">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(5.21</w:t>
            </w:r>
            <w:r w:rsidR="00CC153B" w:rsidRPr="005848B4">
              <w:rPr>
                <w:rFonts w:ascii="Times New Roman" w:hAnsi="Times New Roman" w:cs="Times New Roman"/>
                <w:sz w:val="16"/>
                <w:szCs w:val="24"/>
              </w:rPr>
              <w:t>e-05)</w:t>
            </w:r>
          </w:p>
        </w:tc>
        <w:tc>
          <w:tcPr>
            <w:tcW w:w="1008" w:type="dxa"/>
            <w:tcBorders>
              <w:top w:val="nil"/>
              <w:left w:val="nil"/>
              <w:bottom w:val="nil"/>
              <w:right w:val="nil"/>
            </w:tcBorders>
          </w:tcPr>
          <w:p w:rsidR="00CC153B" w:rsidRPr="005848B4" w:rsidRDefault="00CC153B" w:rsidP="00AA35CC">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w:t>
            </w:r>
            <w:r w:rsidR="00AA35CC">
              <w:rPr>
                <w:rFonts w:ascii="Times New Roman" w:hAnsi="Times New Roman" w:cs="Times New Roman"/>
                <w:sz w:val="16"/>
                <w:szCs w:val="24"/>
              </w:rPr>
              <w:t>0.00022</w:t>
            </w:r>
            <w:r w:rsidRPr="005848B4">
              <w:rPr>
                <w:rFonts w:ascii="Times New Roman" w:hAnsi="Times New Roman" w:cs="Times New Roman"/>
                <w:sz w:val="16"/>
                <w:szCs w:val="24"/>
              </w:rPr>
              <w:t>)</w:t>
            </w:r>
          </w:p>
        </w:tc>
        <w:tc>
          <w:tcPr>
            <w:tcW w:w="1008" w:type="dxa"/>
            <w:tcBorders>
              <w:top w:val="nil"/>
              <w:left w:val="nil"/>
              <w:bottom w:val="nil"/>
              <w:right w:val="nil"/>
            </w:tcBorders>
          </w:tcPr>
          <w:p w:rsidR="00CC153B" w:rsidRPr="005848B4" w:rsidRDefault="00CC153B" w:rsidP="00AA35CC">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w:t>
            </w:r>
            <w:r w:rsidR="00AA35CC">
              <w:rPr>
                <w:rFonts w:ascii="Times New Roman" w:hAnsi="Times New Roman" w:cs="Times New Roman"/>
                <w:sz w:val="16"/>
                <w:szCs w:val="24"/>
              </w:rPr>
              <w:t>3</w:t>
            </w:r>
            <w:r w:rsidRPr="005848B4">
              <w:rPr>
                <w:rFonts w:ascii="Times New Roman" w:hAnsi="Times New Roman" w:cs="Times New Roman"/>
                <w:sz w:val="16"/>
                <w:szCs w:val="24"/>
              </w:rPr>
              <w:t>.59e-05)</w:t>
            </w:r>
          </w:p>
        </w:tc>
        <w:tc>
          <w:tcPr>
            <w:tcW w:w="1008" w:type="dxa"/>
            <w:tcBorders>
              <w:top w:val="nil"/>
              <w:left w:val="nil"/>
              <w:bottom w:val="nil"/>
              <w:right w:val="nil"/>
            </w:tcBorders>
          </w:tcPr>
          <w:p w:rsidR="00CC153B" w:rsidRPr="005848B4" w:rsidRDefault="00CC153B" w:rsidP="00AA35CC">
            <w:pPr>
              <w:widowControl w:val="0"/>
              <w:autoSpaceDE w:val="0"/>
              <w:autoSpaceDN w:val="0"/>
              <w:adjustRightInd w:val="0"/>
              <w:spacing w:after="0" w:line="240" w:lineRule="auto"/>
              <w:jc w:val="center"/>
              <w:rPr>
                <w:rFonts w:ascii="Times New Roman" w:hAnsi="Times New Roman" w:cs="Times New Roman"/>
                <w:sz w:val="16"/>
                <w:szCs w:val="24"/>
              </w:rPr>
            </w:pPr>
            <w:r w:rsidRPr="005848B4">
              <w:rPr>
                <w:rFonts w:ascii="Times New Roman" w:hAnsi="Times New Roman" w:cs="Times New Roman"/>
                <w:sz w:val="16"/>
                <w:szCs w:val="24"/>
              </w:rPr>
              <w:t>(0.00</w:t>
            </w:r>
            <w:r w:rsidR="00AA35CC">
              <w:rPr>
                <w:rFonts w:ascii="Times New Roman" w:hAnsi="Times New Roman" w:cs="Times New Roman"/>
                <w:sz w:val="16"/>
                <w:szCs w:val="24"/>
              </w:rPr>
              <w:t>28</w:t>
            </w:r>
            <w:r w:rsidRPr="005848B4">
              <w:rPr>
                <w:rFonts w:ascii="Times New Roman" w:hAnsi="Times New Roman" w:cs="Times New Roman"/>
                <w:sz w:val="16"/>
                <w:szCs w:val="24"/>
              </w:rPr>
              <w:t>)</w:t>
            </w:r>
          </w:p>
        </w:tc>
      </w:tr>
      <w:tr w:rsidR="00CC153B" w:rsidRPr="000277B2" w:rsidTr="00337B95">
        <w:trPr>
          <w:jc w:val="center"/>
        </w:trPr>
        <w:tc>
          <w:tcPr>
            <w:tcW w:w="1440" w:type="dxa"/>
            <w:tcBorders>
              <w:top w:val="nil"/>
              <w:left w:val="nil"/>
              <w:bottom w:val="nil"/>
              <w:right w:val="nil"/>
            </w:tcBorders>
            <w:vAlign w:val="center"/>
          </w:tcPr>
          <w:p w:rsidR="00CC153B" w:rsidRPr="000277B2" w:rsidRDefault="00CC153B" w:rsidP="00337B95">
            <w:pPr>
              <w:spacing w:after="0" w:line="240" w:lineRule="auto"/>
              <w:rPr>
                <w:rFonts w:ascii="Times New Roman" w:eastAsia="Times New Roman" w:hAnsi="Times New Roman" w:cs="Times New Roman"/>
                <w:sz w:val="16"/>
                <w:szCs w:val="16"/>
              </w:rPr>
            </w:pPr>
            <w:r w:rsidRPr="000277B2">
              <w:rPr>
                <w:rFonts w:ascii="Times New Roman" w:eastAsia="Times New Roman" w:hAnsi="Times New Roman" w:cs="Times New Roman"/>
                <w:sz w:val="16"/>
                <w:szCs w:val="16"/>
              </w:rPr>
              <w:t>Firm FE</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r>
      <w:tr w:rsidR="00CC153B" w:rsidRPr="000277B2" w:rsidTr="00337B95">
        <w:trPr>
          <w:jc w:val="center"/>
        </w:trPr>
        <w:tc>
          <w:tcPr>
            <w:tcW w:w="1440" w:type="dxa"/>
            <w:tcBorders>
              <w:top w:val="nil"/>
              <w:left w:val="nil"/>
              <w:bottom w:val="nil"/>
              <w:right w:val="nil"/>
            </w:tcBorders>
            <w:vAlign w:val="center"/>
          </w:tcPr>
          <w:p w:rsidR="00CC153B" w:rsidRPr="000277B2" w:rsidRDefault="00CC153B" w:rsidP="00337B95">
            <w:pPr>
              <w:spacing w:after="0" w:line="240" w:lineRule="auto"/>
              <w:rPr>
                <w:rFonts w:ascii="Times New Roman" w:eastAsia="Times New Roman" w:hAnsi="Times New Roman" w:cs="Times New Roman"/>
                <w:sz w:val="16"/>
                <w:szCs w:val="16"/>
              </w:rPr>
            </w:pPr>
            <w:r w:rsidRPr="000277B2">
              <w:rPr>
                <w:rFonts w:ascii="Times New Roman" w:eastAsia="Times New Roman" w:hAnsi="Times New Roman" w:cs="Times New Roman"/>
                <w:sz w:val="16"/>
                <w:szCs w:val="16"/>
              </w:rPr>
              <w:t>Industry-Time FE</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c>
          <w:tcPr>
            <w:tcW w:w="1008" w:type="dxa"/>
            <w:tcBorders>
              <w:top w:val="nil"/>
              <w:left w:val="nil"/>
              <w:bottom w:val="nil"/>
              <w:right w:val="nil"/>
            </w:tcBorders>
          </w:tcPr>
          <w:p w:rsidR="00CC153B" w:rsidRPr="000277B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Yes</w:t>
            </w:r>
          </w:p>
        </w:tc>
      </w:tr>
      <w:tr w:rsidR="00CC153B" w:rsidRPr="00674D48" w:rsidTr="00337B95">
        <w:trPr>
          <w:jc w:val="center"/>
        </w:trPr>
        <w:tc>
          <w:tcPr>
            <w:tcW w:w="1440"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p>
        </w:tc>
      </w:tr>
      <w:tr w:rsidR="00CC153B" w:rsidRPr="00674D48" w:rsidTr="00337B95">
        <w:trPr>
          <w:jc w:val="center"/>
        </w:trPr>
        <w:tc>
          <w:tcPr>
            <w:tcW w:w="1440"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rPr>
                <w:rFonts w:ascii="Times New Roman" w:hAnsi="Times New Roman" w:cs="Times New Roman"/>
                <w:sz w:val="16"/>
                <w:szCs w:val="24"/>
              </w:rPr>
            </w:pPr>
            <w:r w:rsidRPr="00674D48">
              <w:rPr>
                <w:rFonts w:ascii="Times New Roman" w:hAnsi="Times New Roman" w:cs="Times New Roman"/>
                <w:sz w:val="16"/>
                <w:szCs w:val="24"/>
              </w:rPr>
              <w:t>Observations</w:t>
            </w: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112,770</w:t>
            </w: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117,466</w:t>
            </w: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115,849</w:t>
            </w: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105,515</w:t>
            </w: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98,980</w:t>
            </w: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120,263</w:t>
            </w: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120,263</w:t>
            </w: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101,426</w:t>
            </w: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115,710</w:t>
            </w: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97,056</w:t>
            </w:r>
          </w:p>
        </w:tc>
        <w:tc>
          <w:tcPr>
            <w:tcW w:w="1008" w:type="dxa"/>
            <w:tcBorders>
              <w:top w:val="nil"/>
              <w:left w:val="nil"/>
              <w:bottom w:val="nil"/>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112,770</w:t>
            </w:r>
          </w:p>
        </w:tc>
      </w:tr>
      <w:tr w:rsidR="00CC153B" w:rsidRPr="00674D48" w:rsidTr="000928AC">
        <w:tblPrEx>
          <w:tblBorders>
            <w:bottom w:val="single" w:sz="6" w:space="0" w:color="auto"/>
          </w:tblBorders>
        </w:tblPrEx>
        <w:trPr>
          <w:jc w:val="center"/>
        </w:trPr>
        <w:tc>
          <w:tcPr>
            <w:tcW w:w="1440" w:type="dxa"/>
            <w:tcBorders>
              <w:top w:val="nil"/>
              <w:left w:val="nil"/>
              <w:bottom w:val="double" w:sz="4" w:space="0" w:color="auto"/>
              <w:right w:val="nil"/>
            </w:tcBorders>
          </w:tcPr>
          <w:p w:rsidR="00CC153B" w:rsidRPr="00674D48" w:rsidRDefault="00CC153B" w:rsidP="00337B95">
            <w:pPr>
              <w:widowControl w:val="0"/>
              <w:autoSpaceDE w:val="0"/>
              <w:autoSpaceDN w:val="0"/>
              <w:adjustRightInd w:val="0"/>
              <w:spacing w:after="0" w:line="240" w:lineRule="auto"/>
              <w:rPr>
                <w:rFonts w:ascii="Times New Roman" w:hAnsi="Times New Roman" w:cs="Times New Roman"/>
                <w:sz w:val="16"/>
                <w:szCs w:val="24"/>
              </w:rPr>
            </w:pPr>
            <w:r w:rsidRPr="00674D48">
              <w:rPr>
                <w:rFonts w:ascii="Times New Roman" w:hAnsi="Times New Roman" w:cs="Times New Roman"/>
                <w:sz w:val="16"/>
                <w:szCs w:val="24"/>
              </w:rPr>
              <w:t>R-squared</w:t>
            </w:r>
          </w:p>
        </w:tc>
        <w:tc>
          <w:tcPr>
            <w:tcW w:w="1008" w:type="dxa"/>
            <w:tcBorders>
              <w:top w:val="nil"/>
              <w:left w:val="nil"/>
              <w:bottom w:val="double" w:sz="4" w:space="0" w:color="auto"/>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0.567</w:t>
            </w:r>
          </w:p>
        </w:tc>
        <w:tc>
          <w:tcPr>
            <w:tcW w:w="1008" w:type="dxa"/>
            <w:tcBorders>
              <w:top w:val="nil"/>
              <w:left w:val="nil"/>
              <w:bottom w:val="double" w:sz="4" w:space="0" w:color="auto"/>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0.563</w:t>
            </w:r>
          </w:p>
        </w:tc>
        <w:tc>
          <w:tcPr>
            <w:tcW w:w="1008" w:type="dxa"/>
            <w:tcBorders>
              <w:top w:val="nil"/>
              <w:left w:val="nil"/>
              <w:bottom w:val="double" w:sz="4" w:space="0" w:color="auto"/>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0.562</w:t>
            </w:r>
          </w:p>
        </w:tc>
        <w:tc>
          <w:tcPr>
            <w:tcW w:w="1008" w:type="dxa"/>
            <w:tcBorders>
              <w:top w:val="nil"/>
              <w:left w:val="nil"/>
              <w:bottom w:val="double" w:sz="4" w:space="0" w:color="auto"/>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0.577</w:t>
            </w:r>
          </w:p>
        </w:tc>
        <w:tc>
          <w:tcPr>
            <w:tcW w:w="1008" w:type="dxa"/>
            <w:tcBorders>
              <w:top w:val="nil"/>
              <w:left w:val="nil"/>
              <w:bottom w:val="double" w:sz="4" w:space="0" w:color="auto"/>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0.579</w:t>
            </w:r>
          </w:p>
        </w:tc>
        <w:tc>
          <w:tcPr>
            <w:tcW w:w="1008" w:type="dxa"/>
            <w:tcBorders>
              <w:top w:val="nil"/>
              <w:left w:val="nil"/>
              <w:bottom w:val="double" w:sz="4" w:space="0" w:color="auto"/>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0.560</w:t>
            </w:r>
          </w:p>
        </w:tc>
        <w:tc>
          <w:tcPr>
            <w:tcW w:w="1008" w:type="dxa"/>
            <w:tcBorders>
              <w:top w:val="nil"/>
              <w:left w:val="nil"/>
              <w:bottom w:val="double" w:sz="4" w:space="0" w:color="auto"/>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0.560</w:t>
            </w:r>
          </w:p>
        </w:tc>
        <w:tc>
          <w:tcPr>
            <w:tcW w:w="1008" w:type="dxa"/>
            <w:tcBorders>
              <w:top w:val="nil"/>
              <w:left w:val="nil"/>
              <w:bottom w:val="double" w:sz="4" w:space="0" w:color="auto"/>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0.565</w:t>
            </w:r>
          </w:p>
        </w:tc>
        <w:tc>
          <w:tcPr>
            <w:tcW w:w="1008" w:type="dxa"/>
            <w:tcBorders>
              <w:top w:val="nil"/>
              <w:left w:val="nil"/>
              <w:bottom w:val="double" w:sz="4" w:space="0" w:color="auto"/>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0.561</w:t>
            </w:r>
          </w:p>
        </w:tc>
        <w:tc>
          <w:tcPr>
            <w:tcW w:w="1008" w:type="dxa"/>
            <w:tcBorders>
              <w:top w:val="nil"/>
              <w:left w:val="nil"/>
              <w:bottom w:val="double" w:sz="4" w:space="0" w:color="auto"/>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0.566</w:t>
            </w:r>
          </w:p>
        </w:tc>
        <w:tc>
          <w:tcPr>
            <w:tcW w:w="1008" w:type="dxa"/>
            <w:tcBorders>
              <w:top w:val="nil"/>
              <w:left w:val="nil"/>
              <w:bottom w:val="double" w:sz="4" w:space="0" w:color="auto"/>
              <w:right w:val="nil"/>
            </w:tcBorders>
          </w:tcPr>
          <w:p w:rsidR="00CC153B" w:rsidRPr="00674D48" w:rsidRDefault="00CC153B" w:rsidP="00337B95">
            <w:pPr>
              <w:widowControl w:val="0"/>
              <w:autoSpaceDE w:val="0"/>
              <w:autoSpaceDN w:val="0"/>
              <w:adjustRightInd w:val="0"/>
              <w:spacing w:after="0" w:line="240" w:lineRule="auto"/>
              <w:jc w:val="center"/>
              <w:rPr>
                <w:rFonts w:ascii="Times New Roman" w:hAnsi="Times New Roman" w:cs="Times New Roman"/>
                <w:sz w:val="16"/>
                <w:szCs w:val="24"/>
              </w:rPr>
            </w:pPr>
            <w:r w:rsidRPr="00674D48">
              <w:rPr>
                <w:rFonts w:ascii="Times New Roman" w:hAnsi="Times New Roman" w:cs="Times New Roman"/>
                <w:sz w:val="16"/>
                <w:szCs w:val="24"/>
              </w:rPr>
              <w:t>0.567</w:t>
            </w:r>
          </w:p>
        </w:tc>
      </w:tr>
    </w:tbl>
    <w:p w:rsidR="00CC153B" w:rsidRDefault="00CC153B" w:rsidP="00CC153B">
      <w:pPr>
        <w:rPr>
          <w:rFonts w:ascii="Times New Roman" w:hAnsi="Times New Roman" w:cs="Times New Roman"/>
          <w:b/>
          <w:sz w:val="20"/>
        </w:rPr>
      </w:pPr>
    </w:p>
    <w:p w:rsidR="00CC153B" w:rsidRDefault="00CC153B" w:rsidP="00CC153B">
      <w:pPr>
        <w:rPr>
          <w:rFonts w:ascii="Times New Roman" w:hAnsi="Times New Roman" w:cs="Times New Roman"/>
          <w:b/>
          <w:sz w:val="20"/>
        </w:rPr>
      </w:pPr>
      <w:r>
        <w:rPr>
          <w:rFonts w:ascii="Times New Roman" w:hAnsi="Times New Roman" w:cs="Times New Roman"/>
          <w:b/>
          <w:sz w:val="20"/>
        </w:rPr>
        <w:br w:type="page"/>
      </w:r>
    </w:p>
    <w:p w:rsidR="00CC153B" w:rsidRDefault="00CC153B" w:rsidP="00CC153B">
      <w:pPr>
        <w:rPr>
          <w:rFonts w:ascii="Times New Roman" w:hAnsi="Times New Roman" w:cs="Times New Roman"/>
          <w:b/>
          <w:sz w:val="20"/>
        </w:rPr>
      </w:pPr>
      <w:r>
        <w:rPr>
          <w:rFonts w:ascii="Times New Roman" w:hAnsi="Times New Roman" w:cs="Times New Roman"/>
          <w:sz w:val="16"/>
          <w:szCs w:val="16"/>
        </w:rPr>
        <w:lastRenderedPageBreak/>
        <w:t xml:space="preserve">Panel C presents the results of OLS regressions of country-level </w:t>
      </w:r>
      <w:r w:rsidR="00050F48">
        <w:rPr>
          <w:rFonts w:ascii="Times New Roman" w:hAnsi="Times New Roman" w:cs="Times New Roman"/>
          <w:sz w:val="16"/>
          <w:szCs w:val="16"/>
        </w:rPr>
        <w:t>i</w:t>
      </w:r>
      <w:r w:rsidR="000928AC">
        <w:rPr>
          <w:rFonts w:ascii="Times New Roman" w:hAnsi="Times New Roman" w:cs="Times New Roman"/>
          <w:sz w:val="16"/>
          <w:szCs w:val="16"/>
        </w:rPr>
        <w:t>nvestment</w:t>
      </w:r>
      <w:r>
        <w:rPr>
          <w:rFonts w:ascii="Times New Roman" w:hAnsi="Times New Roman" w:cs="Times New Roman"/>
          <w:sz w:val="16"/>
          <w:szCs w:val="16"/>
        </w:rPr>
        <w:t>-q sensitivit</w:t>
      </w:r>
      <w:r w:rsidR="000928AC">
        <w:rPr>
          <w:rFonts w:ascii="Times New Roman" w:hAnsi="Times New Roman" w:cs="Times New Roman"/>
          <w:sz w:val="16"/>
          <w:szCs w:val="16"/>
        </w:rPr>
        <w:t>ies</w:t>
      </w:r>
      <w:r>
        <w:rPr>
          <w:rFonts w:ascii="Times New Roman" w:hAnsi="Times New Roman" w:cs="Times New Roman"/>
          <w:sz w:val="16"/>
          <w:szCs w:val="16"/>
        </w:rPr>
        <w:t xml:space="preserve"> on country characteristics, where country-level </w:t>
      </w:r>
      <w:r w:rsidR="00050F48">
        <w:rPr>
          <w:rFonts w:ascii="Times New Roman" w:hAnsi="Times New Roman" w:cs="Times New Roman"/>
          <w:sz w:val="16"/>
          <w:szCs w:val="16"/>
        </w:rPr>
        <w:t>i</w:t>
      </w:r>
      <w:r w:rsidR="000928AC">
        <w:rPr>
          <w:rFonts w:ascii="Times New Roman" w:hAnsi="Times New Roman" w:cs="Times New Roman"/>
          <w:sz w:val="16"/>
          <w:szCs w:val="16"/>
        </w:rPr>
        <w:t>nvestment</w:t>
      </w:r>
      <w:r>
        <w:rPr>
          <w:rFonts w:ascii="Times New Roman" w:hAnsi="Times New Roman" w:cs="Times New Roman"/>
          <w:sz w:val="16"/>
          <w:szCs w:val="16"/>
        </w:rPr>
        <w:t xml:space="preserve">-q sensitivities are obtained from the regression of CapEx on Tobin’s q within each country subsample. </w:t>
      </w:r>
    </w:p>
    <w:tbl>
      <w:tblPr>
        <w:tblW w:w="12528" w:type="dxa"/>
        <w:jc w:val="center"/>
        <w:tblLayout w:type="fixed"/>
        <w:tblCellMar>
          <w:left w:w="75" w:type="dxa"/>
          <w:right w:w="75" w:type="dxa"/>
        </w:tblCellMar>
        <w:tblLook w:val="0000" w:firstRow="0" w:lastRow="0" w:firstColumn="0" w:lastColumn="0" w:noHBand="0" w:noVBand="0"/>
      </w:tblPr>
      <w:tblGrid>
        <w:gridCol w:w="1440"/>
        <w:gridCol w:w="1008"/>
        <w:gridCol w:w="1008"/>
        <w:gridCol w:w="1008"/>
        <w:gridCol w:w="1008"/>
        <w:gridCol w:w="1008"/>
        <w:gridCol w:w="1008"/>
        <w:gridCol w:w="1008"/>
        <w:gridCol w:w="1008"/>
        <w:gridCol w:w="1008"/>
        <w:gridCol w:w="1008"/>
        <w:gridCol w:w="1008"/>
      </w:tblGrid>
      <w:tr w:rsidR="00CC153B" w:rsidRPr="00742EC2" w:rsidTr="000928AC">
        <w:trPr>
          <w:jc w:val="center"/>
        </w:trPr>
        <w:tc>
          <w:tcPr>
            <w:tcW w:w="12528" w:type="dxa"/>
            <w:gridSpan w:val="12"/>
            <w:tcBorders>
              <w:top w:val="double" w:sz="4" w:space="0" w:color="auto"/>
              <w:left w:val="nil"/>
              <w:bottom w:val="nil"/>
              <w:right w:val="nil"/>
            </w:tcBorders>
          </w:tcPr>
          <w:p w:rsidR="00CC153B" w:rsidRPr="00742EC2" w:rsidRDefault="000928AC" w:rsidP="000928AC">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8"/>
                <w:szCs w:val="16"/>
              </w:rPr>
              <w:t>Panel C: Investment-q sensitivities on Country Characteristics</w:t>
            </w:r>
          </w:p>
        </w:tc>
      </w:tr>
      <w:tr w:rsidR="000928AC" w:rsidRPr="00742EC2" w:rsidTr="000928AC">
        <w:trPr>
          <w:trHeight w:val="318"/>
          <w:jc w:val="center"/>
        </w:trPr>
        <w:tc>
          <w:tcPr>
            <w:tcW w:w="1440" w:type="dxa"/>
            <w:tcBorders>
              <w:top w:val="single" w:sz="6" w:space="0" w:color="auto"/>
              <w:left w:val="nil"/>
              <w:bottom w:val="nil"/>
              <w:right w:val="nil"/>
            </w:tcBorders>
          </w:tcPr>
          <w:p w:rsidR="000928AC" w:rsidRPr="00742EC2" w:rsidRDefault="000928AC" w:rsidP="00337B95">
            <w:pPr>
              <w:widowControl w:val="0"/>
              <w:autoSpaceDE w:val="0"/>
              <w:autoSpaceDN w:val="0"/>
              <w:adjustRightInd w:val="0"/>
              <w:spacing w:after="0" w:line="240" w:lineRule="auto"/>
              <w:rPr>
                <w:rFonts w:ascii="Times New Roman" w:hAnsi="Times New Roman" w:cs="Times New Roman"/>
                <w:sz w:val="16"/>
                <w:szCs w:val="16"/>
              </w:rPr>
            </w:pPr>
          </w:p>
        </w:tc>
        <w:tc>
          <w:tcPr>
            <w:tcW w:w="11088" w:type="dxa"/>
            <w:gridSpan w:val="11"/>
            <w:tcBorders>
              <w:top w:val="single" w:sz="6" w:space="0" w:color="auto"/>
              <w:left w:val="nil"/>
              <w:bottom w:val="nil"/>
              <w:right w:val="nil"/>
            </w:tcBorders>
            <w:vAlign w:val="center"/>
          </w:tcPr>
          <w:p w:rsidR="000928AC" w:rsidRPr="00742EC2" w:rsidRDefault="000928AC"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Country Characteristics (COUNTRY)</w:t>
            </w:r>
          </w:p>
        </w:tc>
      </w:tr>
      <w:tr w:rsidR="00CC153B" w:rsidRPr="00742EC2" w:rsidTr="00337B95">
        <w:trPr>
          <w:jc w:val="center"/>
        </w:trPr>
        <w:tc>
          <w:tcPr>
            <w:tcW w:w="1440" w:type="dxa"/>
            <w:tcBorders>
              <w:top w:val="nil"/>
              <w:left w:val="nil"/>
              <w:bottom w:val="single" w:sz="6" w:space="0" w:color="auto"/>
              <w:right w:val="nil"/>
            </w:tcBorders>
          </w:tcPr>
          <w:p w:rsidR="00CC153B" w:rsidRPr="00742EC2" w:rsidRDefault="00050F48" w:rsidP="00337B95">
            <w:pPr>
              <w:widowControl w:val="0"/>
              <w:autoSpaceDE w:val="0"/>
              <w:autoSpaceDN w:val="0"/>
              <w:adjustRightInd w:val="0"/>
              <w:spacing w:after="0" w:line="240" w:lineRule="auto"/>
              <w:rPr>
                <w:rFonts w:ascii="Times New Roman" w:hAnsi="Times New Roman" w:cs="Times New Roman"/>
                <w:sz w:val="16"/>
                <w:szCs w:val="16"/>
              </w:rPr>
            </w:pPr>
            <w:r w:rsidRPr="00050F48">
              <w:rPr>
                <w:rFonts w:ascii="Times New Roman" w:hAnsi="Times New Roman" w:cs="Times New Roman"/>
                <w:sz w:val="18"/>
                <w:szCs w:val="16"/>
              </w:rPr>
              <w:t>Variables</w:t>
            </w:r>
          </w:p>
        </w:tc>
        <w:tc>
          <w:tcPr>
            <w:tcW w:w="1008" w:type="dxa"/>
            <w:tcBorders>
              <w:top w:val="nil"/>
              <w:left w:val="nil"/>
              <w:bottom w:val="single" w:sz="6"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AD</w:t>
            </w:r>
          </w:p>
        </w:tc>
        <w:tc>
          <w:tcPr>
            <w:tcW w:w="1008" w:type="dxa"/>
            <w:tcBorders>
              <w:top w:val="nil"/>
              <w:left w:val="nil"/>
              <w:bottom w:val="single" w:sz="6"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AS</w:t>
            </w:r>
          </w:p>
        </w:tc>
        <w:tc>
          <w:tcPr>
            <w:tcW w:w="1008" w:type="dxa"/>
            <w:tcBorders>
              <w:top w:val="nil"/>
              <w:left w:val="nil"/>
              <w:bottom w:val="single" w:sz="6"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DISC</w:t>
            </w:r>
          </w:p>
        </w:tc>
        <w:tc>
          <w:tcPr>
            <w:tcW w:w="1008" w:type="dxa"/>
            <w:tcBorders>
              <w:top w:val="nil"/>
              <w:left w:val="nil"/>
              <w:bottom w:val="single" w:sz="6"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ACCT</w:t>
            </w:r>
          </w:p>
        </w:tc>
        <w:tc>
          <w:tcPr>
            <w:tcW w:w="1008" w:type="dxa"/>
            <w:tcBorders>
              <w:top w:val="nil"/>
              <w:left w:val="nil"/>
              <w:bottom w:val="single" w:sz="6"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EM</w:t>
            </w:r>
          </w:p>
        </w:tc>
        <w:tc>
          <w:tcPr>
            <w:tcW w:w="1008" w:type="dxa"/>
            <w:tcBorders>
              <w:top w:val="nil"/>
              <w:left w:val="nil"/>
              <w:bottom w:val="single" w:sz="6"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UK</w:t>
            </w:r>
          </w:p>
        </w:tc>
        <w:tc>
          <w:tcPr>
            <w:tcW w:w="1008" w:type="dxa"/>
            <w:tcBorders>
              <w:top w:val="nil"/>
              <w:left w:val="nil"/>
              <w:bottom w:val="single" w:sz="6"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RULE</w:t>
            </w:r>
          </w:p>
        </w:tc>
        <w:tc>
          <w:tcPr>
            <w:tcW w:w="1008" w:type="dxa"/>
            <w:tcBorders>
              <w:top w:val="nil"/>
              <w:left w:val="nil"/>
              <w:bottom w:val="single" w:sz="6"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EQUITY</w:t>
            </w:r>
          </w:p>
        </w:tc>
        <w:tc>
          <w:tcPr>
            <w:tcW w:w="1008" w:type="dxa"/>
            <w:tcBorders>
              <w:top w:val="nil"/>
              <w:left w:val="nil"/>
              <w:bottom w:val="single" w:sz="6"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CREDIT</w:t>
            </w:r>
          </w:p>
        </w:tc>
        <w:tc>
          <w:tcPr>
            <w:tcW w:w="1008" w:type="dxa"/>
            <w:tcBorders>
              <w:top w:val="nil"/>
              <w:left w:val="nil"/>
              <w:bottom w:val="single" w:sz="6"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FD</w:t>
            </w:r>
          </w:p>
        </w:tc>
        <w:tc>
          <w:tcPr>
            <w:tcW w:w="1008" w:type="dxa"/>
            <w:tcBorders>
              <w:top w:val="nil"/>
              <w:left w:val="nil"/>
              <w:bottom w:val="single" w:sz="6"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IPO</w:t>
            </w:r>
          </w:p>
        </w:tc>
      </w:tr>
      <w:tr w:rsidR="00CC153B" w:rsidRPr="00742EC2" w:rsidTr="00337B95">
        <w:trPr>
          <w:jc w:val="center"/>
        </w:trPr>
        <w:tc>
          <w:tcPr>
            <w:tcW w:w="1440"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r>
      <w:tr w:rsidR="00CC153B" w:rsidRPr="00742EC2" w:rsidTr="00337B95">
        <w:trPr>
          <w:jc w:val="center"/>
        </w:trPr>
        <w:tc>
          <w:tcPr>
            <w:tcW w:w="1440"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rPr>
                <w:rFonts w:ascii="Times New Roman" w:hAnsi="Times New Roman" w:cs="Times New Roman"/>
                <w:sz w:val="16"/>
                <w:szCs w:val="16"/>
              </w:rPr>
            </w:pPr>
            <w:r w:rsidRPr="00742EC2">
              <w:rPr>
                <w:rFonts w:ascii="Times New Roman" w:hAnsi="Times New Roman" w:cs="Times New Roman"/>
                <w:sz w:val="16"/>
                <w:szCs w:val="16"/>
              </w:rPr>
              <w:t>COUNTRY</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0.0696***</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0.0996</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0.0072</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0.0091***</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-0.0045</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0.0773*</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0.0844</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0.0005***</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0.0020***</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0.0005***</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0.0134</w:t>
            </w:r>
          </w:p>
        </w:tc>
      </w:tr>
      <w:tr w:rsidR="00CC153B" w:rsidRPr="00742EC2" w:rsidTr="00337B95">
        <w:trPr>
          <w:trHeight w:val="315"/>
          <w:jc w:val="center"/>
        </w:trPr>
        <w:tc>
          <w:tcPr>
            <w:tcW w:w="1440"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(0.0089)</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(0.5107)</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(0.6215)</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(0.0171)</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(0.3333)</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(0.0956)</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(0.2620)</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(0.0214)</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(0.0178)</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(0.0093)</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(0.2880)</w:t>
            </w:r>
          </w:p>
        </w:tc>
      </w:tr>
      <w:tr w:rsidR="00CC153B" w:rsidRPr="00742EC2" w:rsidTr="00337B95">
        <w:trPr>
          <w:jc w:val="center"/>
        </w:trPr>
        <w:tc>
          <w:tcPr>
            <w:tcW w:w="1440"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rPr>
                <w:rFonts w:ascii="Times New Roman" w:hAnsi="Times New Roman" w:cs="Times New Roman"/>
                <w:sz w:val="16"/>
                <w:szCs w:val="16"/>
              </w:rPr>
            </w:pPr>
            <w:r w:rsidRPr="00742EC2">
              <w:rPr>
                <w:rFonts w:ascii="Times New Roman" w:hAnsi="Times New Roman" w:cs="Times New Roman"/>
                <w:sz w:val="16"/>
                <w:szCs w:val="16"/>
              </w:rPr>
              <w:t>Observations</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36</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38</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41</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32</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27</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41</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41</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39</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41</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39</w:t>
            </w:r>
          </w:p>
        </w:tc>
        <w:tc>
          <w:tcPr>
            <w:tcW w:w="1008" w:type="dxa"/>
            <w:tcBorders>
              <w:top w:val="nil"/>
              <w:left w:val="nil"/>
              <w:bottom w:val="nil"/>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36</w:t>
            </w:r>
          </w:p>
        </w:tc>
      </w:tr>
      <w:tr w:rsidR="00CC153B" w:rsidRPr="00742EC2" w:rsidTr="000928AC">
        <w:tblPrEx>
          <w:tblBorders>
            <w:bottom w:val="single" w:sz="6" w:space="0" w:color="auto"/>
          </w:tblBorders>
        </w:tblPrEx>
        <w:trPr>
          <w:trHeight w:val="261"/>
          <w:jc w:val="center"/>
        </w:trPr>
        <w:tc>
          <w:tcPr>
            <w:tcW w:w="1440" w:type="dxa"/>
            <w:tcBorders>
              <w:top w:val="nil"/>
              <w:left w:val="nil"/>
              <w:bottom w:val="double" w:sz="4" w:space="0" w:color="auto"/>
              <w:right w:val="nil"/>
            </w:tcBorders>
          </w:tcPr>
          <w:p w:rsidR="00CC153B" w:rsidRPr="00742EC2" w:rsidRDefault="00CC153B" w:rsidP="00337B95">
            <w:pPr>
              <w:widowControl w:val="0"/>
              <w:autoSpaceDE w:val="0"/>
              <w:autoSpaceDN w:val="0"/>
              <w:adjustRightInd w:val="0"/>
              <w:spacing w:after="0" w:line="240" w:lineRule="auto"/>
              <w:rPr>
                <w:rFonts w:ascii="Times New Roman" w:hAnsi="Times New Roman" w:cs="Times New Roman"/>
                <w:sz w:val="16"/>
                <w:szCs w:val="16"/>
              </w:rPr>
            </w:pPr>
            <w:r w:rsidRPr="00742EC2">
              <w:rPr>
                <w:rFonts w:ascii="Times New Roman" w:hAnsi="Times New Roman" w:cs="Times New Roman"/>
                <w:sz w:val="16"/>
                <w:szCs w:val="16"/>
              </w:rPr>
              <w:t>R-squared</w:t>
            </w:r>
          </w:p>
        </w:tc>
        <w:tc>
          <w:tcPr>
            <w:tcW w:w="1008" w:type="dxa"/>
            <w:tcBorders>
              <w:top w:val="nil"/>
              <w:left w:val="nil"/>
              <w:bottom w:val="double" w:sz="4"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0.2425</w:t>
            </w:r>
          </w:p>
        </w:tc>
        <w:tc>
          <w:tcPr>
            <w:tcW w:w="1008" w:type="dxa"/>
            <w:tcBorders>
              <w:top w:val="nil"/>
              <w:left w:val="nil"/>
              <w:bottom w:val="double" w:sz="4"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0.0508</w:t>
            </w:r>
          </w:p>
        </w:tc>
        <w:tc>
          <w:tcPr>
            <w:tcW w:w="1008" w:type="dxa"/>
            <w:tcBorders>
              <w:top w:val="nil"/>
              <w:left w:val="nil"/>
              <w:bottom w:val="double" w:sz="4"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0.0250</w:t>
            </w:r>
          </w:p>
        </w:tc>
        <w:tc>
          <w:tcPr>
            <w:tcW w:w="1008" w:type="dxa"/>
            <w:tcBorders>
              <w:top w:val="nil"/>
              <w:left w:val="nil"/>
              <w:bottom w:val="double" w:sz="4"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0.2288</w:t>
            </w:r>
          </w:p>
        </w:tc>
        <w:tc>
          <w:tcPr>
            <w:tcW w:w="1008" w:type="dxa"/>
            <w:tcBorders>
              <w:top w:val="nil"/>
              <w:left w:val="nil"/>
              <w:bottom w:val="double" w:sz="4"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0.0533</w:t>
            </w:r>
          </w:p>
        </w:tc>
        <w:tc>
          <w:tcPr>
            <w:tcW w:w="1008" w:type="dxa"/>
            <w:tcBorders>
              <w:top w:val="nil"/>
              <w:left w:val="nil"/>
              <w:bottom w:val="double" w:sz="4"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0.0350</w:t>
            </w:r>
          </w:p>
        </w:tc>
        <w:tc>
          <w:tcPr>
            <w:tcW w:w="1008" w:type="dxa"/>
            <w:tcBorders>
              <w:top w:val="nil"/>
              <w:left w:val="nil"/>
              <w:bottom w:val="double" w:sz="4"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0.0525</w:t>
            </w:r>
          </w:p>
        </w:tc>
        <w:tc>
          <w:tcPr>
            <w:tcW w:w="1008" w:type="dxa"/>
            <w:tcBorders>
              <w:top w:val="nil"/>
              <w:left w:val="nil"/>
              <w:bottom w:val="double" w:sz="4"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0.1619</w:t>
            </w:r>
          </w:p>
        </w:tc>
        <w:tc>
          <w:tcPr>
            <w:tcW w:w="1008" w:type="dxa"/>
            <w:tcBorders>
              <w:top w:val="nil"/>
              <w:left w:val="nil"/>
              <w:bottom w:val="double" w:sz="4"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0.1618</w:t>
            </w:r>
          </w:p>
        </w:tc>
        <w:tc>
          <w:tcPr>
            <w:tcW w:w="1008" w:type="dxa"/>
            <w:tcBorders>
              <w:top w:val="nil"/>
              <w:left w:val="nil"/>
              <w:bottom w:val="double" w:sz="4"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0.1976</w:t>
            </w:r>
          </w:p>
        </w:tc>
        <w:tc>
          <w:tcPr>
            <w:tcW w:w="1008" w:type="dxa"/>
            <w:tcBorders>
              <w:top w:val="nil"/>
              <w:left w:val="nil"/>
              <w:bottom w:val="double" w:sz="4" w:space="0" w:color="auto"/>
              <w:right w:val="nil"/>
            </w:tcBorders>
          </w:tcPr>
          <w:p w:rsidR="00CC153B" w:rsidRPr="00742E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742EC2">
              <w:rPr>
                <w:rFonts w:ascii="Times New Roman" w:hAnsi="Times New Roman" w:cs="Times New Roman"/>
                <w:sz w:val="16"/>
                <w:szCs w:val="16"/>
              </w:rPr>
              <w:t>0.0866</w:t>
            </w:r>
          </w:p>
        </w:tc>
      </w:tr>
    </w:tbl>
    <w:p w:rsidR="00CC153B" w:rsidRDefault="00CC153B" w:rsidP="00CC153B">
      <w:pPr>
        <w:rPr>
          <w:rFonts w:ascii="Times New Roman" w:hAnsi="Times New Roman" w:cs="Times New Roman"/>
          <w:b/>
          <w:sz w:val="20"/>
        </w:rPr>
      </w:pPr>
      <w:r>
        <w:rPr>
          <w:rFonts w:ascii="Times New Roman" w:hAnsi="Times New Roman" w:cs="Times New Roman"/>
          <w:b/>
          <w:sz w:val="20"/>
        </w:rPr>
        <w:br w:type="page"/>
      </w:r>
    </w:p>
    <w:p w:rsidR="002D0C41" w:rsidRPr="00EE1141" w:rsidRDefault="00CC153B" w:rsidP="00CC153B">
      <w:pPr>
        <w:spacing w:after="120" w:line="240" w:lineRule="auto"/>
        <w:rPr>
          <w:rFonts w:ascii="Times New Roman" w:hAnsi="Times New Roman" w:cs="Times New Roman"/>
          <w:b/>
          <w:sz w:val="20"/>
          <w:szCs w:val="16"/>
        </w:rPr>
      </w:pPr>
      <w:r w:rsidRPr="00EE1141">
        <w:rPr>
          <w:rFonts w:ascii="Times New Roman" w:hAnsi="Times New Roman" w:cs="Times New Roman"/>
          <w:b/>
          <w:sz w:val="20"/>
          <w:szCs w:val="16"/>
        </w:rPr>
        <w:lastRenderedPageBreak/>
        <w:t xml:space="preserve">Table </w:t>
      </w:r>
      <w:r>
        <w:rPr>
          <w:rFonts w:ascii="Times New Roman" w:hAnsi="Times New Roman" w:cs="Times New Roman"/>
          <w:b/>
          <w:sz w:val="20"/>
          <w:szCs w:val="16"/>
        </w:rPr>
        <w:t>9</w:t>
      </w:r>
      <w:r w:rsidRPr="00EE1141">
        <w:rPr>
          <w:rFonts w:ascii="Times New Roman" w:hAnsi="Times New Roman" w:cs="Times New Roman"/>
          <w:b/>
          <w:sz w:val="20"/>
          <w:szCs w:val="16"/>
        </w:rPr>
        <w:t xml:space="preserve"> </w:t>
      </w:r>
      <w:r w:rsidR="002D0C41">
        <w:rPr>
          <w:rFonts w:ascii="Times New Roman" w:hAnsi="Times New Roman" w:cs="Times New Roman"/>
          <w:b/>
          <w:sz w:val="20"/>
          <w:szCs w:val="16"/>
        </w:rPr>
        <w:t>– External Finance Dependence</w:t>
      </w:r>
    </w:p>
    <w:p w:rsidR="00CC153B" w:rsidRPr="00EE1141" w:rsidRDefault="004D0A80" w:rsidP="00CC153B">
      <w:pPr>
        <w:spacing w:after="240" w:line="240" w:lineRule="auto"/>
        <w:ind w:firstLine="288"/>
        <w:jc w:val="both"/>
        <w:rPr>
          <w:rFonts w:ascii="Times New Roman" w:hAnsi="Times New Roman" w:cs="Times New Roman"/>
          <w:sz w:val="16"/>
        </w:rPr>
      </w:pPr>
      <w:r>
        <w:rPr>
          <w:rFonts w:ascii="Times New Roman" w:hAnsi="Times New Roman" w:cs="Times New Roman"/>
          <w:sz w:val="16"/>
          <w:szCs w:val="16"/>
        </w:rPr>
        <w:t>T</w:t>
      </w:r>
      <w:r w:rsidR="00CC153B" w:rsidRPr="00EE1141">
        <w:rPr>
          <w:rFonts w:ascii="Times New Roman" w:hAnsi="Times New Roman" w:cs="Times New Roman"/>
          <w:sz w:val="16"/>
          <w:szCs w:val="16"/>
        </w:rPr>
        <w:t xml:space="preserve">his table reports the results in the </w:t>
      </w:r>
      <w:r>
        <w:rPr>
          <w:rFonts w:ascii="Times New Roman" w:hAnsi="Times New Roman" w:cs="Times New Roman"/>
          <w:sz w:val="16"/>
          <w:szCs w:val="16"/>
        </w:rPr>
        <w:t>full sample of regressing firm’s capital expenditures on country characteristics and their interactions with the fourth quarter dummy, as well as a three-term interaction of country characteristics, fourth quarter dummy, and an external finance dummy. We use the dummy variable “EXTERNAL FINANCE” to indicate whether a firm is from an industry that is dependent on external finance. We control</w:t>
      </w:r>
      <w:r w:rsidR="00CC153B" w:rsidRPr="00EE1141">
        <w:rPr>
          <w:rFonts w:ascii="Times New Roman" w:hAnsi="Times New Roman" w:cs="Times New Roman"/>
          <w:sz w:val="16"/>
          <w:szCs w:val="16"/>
        </w:rPr>
        <w:t xml:space="preserve"> for GDP per capita and GDP growth and other firm-level observable measures to account for any confounding effects attributable to capital expenditure. We also add Fama-French-48 industry × calendar quarter interaction fixed effects to control for time-varying investment opportunities. </w:t>
      </w:r>
      <w:r w:rsidR="00CC153B" w:rsidRPr="00EE1141">
        <w:rPr>
          <w:rFonts w:ascii="Times New Roman" w:hAnsi="Times New Roman" w:cs="Times New Roman"/>
          <w:sz w:val="16"/>
        </w:rPr>
        <w:t xml:space="preserve"> </w:t>
      </w:r>
      <w:r w:rsidR="00CC153B">
        <w:rPr>
          <w:rFonts w:ascii="Times New Roman" w:hAnsi="Times New Roman" w:cs="Times New Roman"/>
          <w:sz w:val="16"/>
          <w:szCs w:val="16"/>
        </w:rPr>
        <w:t>COUNTRY</w:t>
      </w:r>
      <w:r w:rsidR="00CC153B" w:rsidRPr="00EE1141">
        <w:rPr>
          <w:rFonts w:ascii="Times New Roman" w:hAnsi="Times New Roman" w:cs="Times New Roman"/>
          <w:sz w:val="16"/>
          <w:szCs w:val="16"/>
        </w:rPr>
        <w:t xml:space="preserve"> is used to represent country-level variables in each of the columns. </w:t>
      </w:r>
      <w:r w:rsidR="00CC153B" w:rsidRPr="00EE1141">
        <w:rPr>
          <w:rFonts w:ascii="Times New Roman" w:hAnsi="Times New Roman" w:cs="Times New Roman"/>
          <w:sz w:val="16"/>
        </w:rPr>
        <w:t>The country characteristics are investor rights</w:t>
      </w:r>
      <w:r w:rsidR="00CC153B">
        <w:rPr>
          <w:rFonts w:ascii="Times New Roman" w:hAnsi="Times New Roman" w:cs="Times New Roman"/>
          <w:sz w:val="16"/>
        </w:rPr>
        <w:t xml:space="preserve"> and protection</w:t>
      </w:r>
      <w:r w:rsidR="00CC153B" w:rsidRPr="00EE1141">
        <w:rPr>
          <w:rFonts w:ascii="Times New Roman" w:hAnsi="Times New Roman" w:cs="Times New Roman"/>
          <w:sz w:val="16"/>
        </w:rPr>
        <w:t>, development of financial market</w:t>
      </w:r>
      <w:r w:rsidR="00CC153B">
        <w:rPr>
          <w:rFonts w:ascii="Times New Roman" w:hAnsi="Times New Roman" w:cs="Times New Roman"/>
          <w:sz w:val="16"/>
        </w:rPr>
        <w:t xml:space="preserve">, and </w:t>
      </w:r>
      <w:r w:rsidR="00CC153B" w:rsidRPr="00EE1141">
        <w:rPr>
          <w:rFonts w:ascii="Times New Roman" w:hAnsi="Times New Roman" w:cs="Times New Roman"/>
          <w:sz w:val="16"/>
        </w:rPr>
        <w:t>GDP per capita in constant 2005 US$ (GDP</w:t>
      </w:r>
      <w:r w:rsidR="00CC153B">
        <w:rPr>
          <w:rFonts w:ascii="Times New Roman" w:hAnsi="Times New Roman" w:cs="Times New Roman"/>
          <w:sz w:val="16"/>
        </w:rPr>
        <w:t>) and annual GDP growth (GDP_GRO)</w:t>
      </w:r>
      <w:r w:rsidR="00CC153B" w:rsidRPr="00EE1141">
        <w:rPr>
          <w:rFonts w:ascii="Times New Roman" w:hAnsi="Times New Roman" w:cs="Times New Roman"/>
          <w:sz w:val="16"/>
        </w:rPr>
        <w:t xml:space="preserve">. The proxies for investor rights and protection include the anti-director rights index </w:t>
      </w:r>
      <w:r w:rsidR="00CC153B">
        <w:rPr>
          <w:rFonts w:ascii="Times New Roman" w:hAnsi="Times New Roman" w:cs="Times New Roman"/>
          <w:sz w:val="16"/>
        </w:rPr>
        <w:t xml:space="preserve">(AD), </w:t>
      </w:r>
      <w:r w:rsidR="00CC153B" w:rsidRPr="00EE1141">
        <w:rPr>
          <w:rFonts w:ascii="Times New Roman" w:hAnsi="Times New Roman" w:cs="Times New Roman"/>
          <w:sz w:val="16"/>
        </w:rPr>
        <w:t xml:space="preserve">the anti-self-dealing index (AS), </w:t>
      </w:r>
      <w:r w:rsidR="00CC153B">
        <w:rPr>
          <w:rFonts w:ascii="Times New Roman" w:hAnsi="Times New Roman" w:cs="Times New Roman"/>
          <w:sz w:val="16"/>
        </w:rPr>
        <w:t>the</w:t>
      </w:r>
      <w:r w:rsidR="00CC153B" w:rsidRPr="00EE1141">
        <w:rPr>
          <w:rFonts w:ascii="Times New Roman" w:hAnsi="Times New Roman" w:cs="Times New Roman"/>
          <w:sz w:val="16"/>
        </w:rPr>
        <w:t xml:space="preserve"> extent of disclosure index (DISC)</w:t>
      </w:r>
      <w:r w:rsidR="00CC153B">
        <w:rPr>
          <w:rFonts w:ascii="Times New Roman" w:hAnsi="Times New Roman" w:cs="Times New Roman"/>
          <w:sz w:val="16"/>
        </w:rPr>
        <w:t xml:space="preserve">, </w:t>
      </w:r>
      <w:r w:rsidR="00CC153B" w:rsidRPr="00EE1141">
        <w:rPr>
          <w:rFonts w:ascii="Times New Roman" w:hAnsi="Times New Roman" w:cs="Times New Roman"/>
          <w:sz w:val="16"/>
        </w:rPr>
        <w:t>accounting quality (ACCT),</w:t>
      </w:r>
      <w:r w:rsidR="00CC153B">
        <w:rPr>
          <w:rFonts w:ascii="Times New Roman" w:hAnsi="Times New Roman" w:cs="Times New Roman"/>
          <w:sz w:val="16"/>
        </w:rPr>
        <w:t xml:space="preserve"> earnings management index (EM), </w:t>
      </w:r>
      <w:r w:rsidR="00CC153B" w:rsidRPr="00EE1141">
        <w:rPr>
          <w:rFonts w:ascii="Times New Roman" w:hAnsi="Times New Roman" w:cs="Times New Roman"/>
          <w:sz w:val="16"/>
        </w:rPr>
        <w:t>an indicator of whether the country has Engli</w:t>
      </w:r>
      <w:r w:rsidR="00CC153B">
        <w:rPr>
          <w:rFonts w:ascii="Times New Roman" w:hAnsi="Times New Roman" w:cs="Times New Roman"/>
          <w:sz w:val="16"/>
        </w:rPr>
        <w:t>sh Common Law legal origin (UK) and the</w:t>
      </w:r>
      <w:r w:rsidR="00CC153B" w:rsidRPr="00EE1141">
        <w:rPr>
          <w:rFonts w:ascii="Times New Roman" w:hAnsi="Times New Roman" w:cs="Times New Roman"/>
          <w:sz w:val="16"/>
        </w:rPr>
        <w:t xml:space="preserve"> rule of law index (RULE</w:t>
      </w:r>
      <w:r w:rsidR="00CC153B">
        <w:rPr>
          <w:rFonts w:ascii="Times New Roman" w:hAnsi="Times New Roman" w:cs="Times New Roman"/>
          <w:sz w:val="16"/>
        </w:rPr>
        <w:t>). T</w:t>
      </w:r>
      <w:r w:rsidR="00CC153B" w:rsidRPr="00EE1141">
        <w:rPr>
          <w:rFonts w:ascii="Times New Roman" w:hAnsi="Times New Roman" w:cs="Times New Roman"/>
          <w:sz w:val="16"/>
        </w:rPr>
        <w:t>he development of financial market proxies include the ratio of stock market capitalization over GDP (EQUITY), the ratio of domestic credit to private sector over GDP (CREDIT), the combination of the two as a general measure of financial market development (F</w:t>
      </w:r>
      <w:r w:rsidR="00CC153B">
        <w:rPr>
          <w:rFonts w:ascii="Times New Roman" w:hAnsi="Times New Roman" w:cs="Times New Roman"/>
          <w:sz w:val="16"/>
        </w:rPr>
        <w:t>D</w:t>
      </w:r>
      <w:r w:rsidR="00CC153B" w:rsidRPr="00EE1141">
        <w:rPr>
          <w:rFonts w:ascii="Times New Roman" w:hAnsi="Times New Roman" w:cs="Times New Roman"/>
          <w:sz w:val="16"/>
        </w:rPr>
        <w:t xml:space="preserve">), and the number of IPOs per capita (IPO). </w:t>
      </w:r>
      <w:r w:rsidR="00CC153B" w:rsidRPr="00EE1141">
        <w:rPr>
          <w:rFonts w:ascii="Times New Roman" w:hAnsi="Times New Roman" w:cs="Times New Roman"/>
          <w:sz w:val="16"/>
          <w:szCs w:val="16"/>
        </w:rPr>
        <w:t xml:space="preserve">Robust standard errors are reported in parentheses. *, **, and *** indicate significance at the 10%, 5%, and 1% level, respectively. Standard errors are clustered at the country level. Firm-level controls are winsorized at the </w:t>
      </w:r>
      <w:r w:rsidR="00CC153B">
        <w:rPr>
          <w:rFonts w:ascii="Times New Roman" w:hAnsi="Times New Roman" w:cs="Times New Roman"/>
          <w:sz w:val="16"/>
          <w:szCs w:val="16"/>
        </w:rPr>
        <w:t>1% tails. Our sample includes 41</w:t>
      </w:r>
      <w:r w:rsidR="00CC153B" w:rsidRPr="00EE1141">
        <w:rPr>
          <w:rFonts w:ascii="Times New Roman" w:hAnsi="Times New Roman" w:cs="Times New Roman"/>
          <w:sz w:val="16"/>
          <w:szCs w:val="16"/>
        </w:rPr>
        <w:t xml:space="preserve"> countries and covers the period 2005-2014 in fiscal years. </w:t>
      </w:r>
      <w:r w:rsidR="00CC153B" w:rsidRPr="00EE1141">
        <w:rPr>
          <w:rFonts w:ascii="Times New Roman" w:hAnsi="Times New Roman" w:cs="Times New Roman"/>
          <w:sz w:val="16"/>
        </w:rPr>
        <w:t xml:space="preserve">The details of </w:t>
      </w:r>
      <w:r w:rsidR="00050F48">
        <w:rPr>
          <w:rFonts w:ascii="Times New Roman" w:hAnsi="Times New Roman" w:cs="Times New Roman"/>
          <w:sz w:val="16"/>
        </w:rPr>
        <w:t>the country-level</w:t>
      </w:r>
      <w:r w:rsidR="00CC153B" w:rsidRPr="00EE1141">
        <w:rPr>
          <w:rFonts w:ascii="Times New Roman" w:hAnsi="Times New Roman" w:cs="Times New Roman"/>
          <w:sz w:val="16"/>
        </w:rPr>
        <w:t xml:space="preserve"> variables are provided in Appendix A.</w:t>
      </w:r>
    </w:p>
    <w:tbl>
      <w:tblPr>
        <w:tblW w:w="12528" w:type="dxa"/>
        <w:jc w:val="center"/>
        <w:tblLayout w:type="fixed"/>
        <w:tblCellMar>
          <w:left w:w="75" w:type="dxa"/>
          <w:right w:w="75" w:type="dxa"/>
        </w:tblCellMar>
        <w:tblLook w:val="0000" w:firstRow="0" w:lastRow="0" w:firstColumn="0" w:lastColumn="0" w:noHBand="0" w:noVBand="0"/>
      </w:tblPr>
      <w:tblGrid>
        <w:gridCol w:w="1440"/>
        <w:gridCol w:w="1008"/>
        <w:gridCol w:w="1008"/>
        <w:gridCol w:w="1008"/>
        <w:gridCol w:w="1008"/>
        <w:gridCol w:w="1008"/>
        <w:gridCol w:w="1008"/>
        <w:gridCol w:w="1008"/>
        <w:gridCol w:w="1008"/>
        <w:gridCol w:w="1008"/>
        <w:gridCol w:w="1008"/>
        <w:gridCol w:w="1008"/>
      </w:tblGrid>
      <w:tr w:rsidR="0018557B" w:rsidTr="0018557B">
        <w:trPr>
          <w:jc w:val="center"/>
        </w:trPr>
        <w:tc>
          <w:tcPr>
            <w:tcW w:w="12528" w:type="dxa"/>
            <w:gridSpan w:val="12"/>
            <w:tcBorders>
              <w:top w:val="double" w:sz="4" w:space="0" w:color="auto"/>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cs="Times New Roman"/>
                <w:sz w:val="20"/>
                <w:szCs w:val="16"/>
              </w:rPr>
            </w:pPr>
            <w:r w:rsidRPr="0018557B">
              <w:rPr>
                <w:rFonts w:ascii="Times New Roman" w:hAnsi="Times New Roman" w:cs="Times New Roman"/>
                <w:sz w:val="20"/>
                <w:szCs w:val="16"/>
              </w:rPr>
              <w:t>Country Characteristics (COUNTRY)</w:t>
            </w:r>
          </w:p>
        </w:tc>
      </w:tr>
      <w:tr w:rsidR="0018557B" w:rsidTr="0018557B">
        <w:trPr>
          <w:jc w:val="center"/>
        </w:trPr>
        <w:tc>
          <w:tcPr>
            <w:tcW w:w="1440" w:type="dxa"/>
            <w:tcBorders>
              <w:top w:val="nil"/>
              <w:left w:val="nil"/>
              <w:bottom w:val="single" w:sz="6" w:space="0" w:color="auto"/>
              <w:right w:val="nil"/>
            </w:tcBorders>
          </w:tcPr>
          <w:p w:rsidR="0018557B" w:rsidRPr="0018557B" w:rsidRDefault="0018557B" w:rsidP="002A7DE0">
            <w:pPr>
              <w:widowControl w:val="0"/>
              <w:autoSpaceDE w:val="0"/>
              <w:autoSpaceDN w:val="0"/>
              <w:adjustRightInd w:val="0"/>
              <w:spacing w:after="0" w:line="240" w:lineRule="auto"/>
              <w:rPr>
                <w:rFonts w:ascii="Times New Roman" w:hAnsi="Times New Roman"/>
                <w:sz w:val="18"/>
                <w:szCs w:val="18"/>
              </w:rPr>
            </w:pPr>
            <w:r w:rsidRPr="0018557B">
              <w:rPr>
                <w:rFonts w:ascii="Times New Roman" w:hAnsi="Times New Roman"/>
                <w:sz w:val="18"/>
                <w:szCs w:val="18"/>
              </w:rPr>
              <w:t>VARIABLES</w:t>
            </w:r>
          </w:p>
        </w:tc>
        <w:tc>
          <w:tcPr>
            <w:tcW w:w="1008" w:type="dxa"/>
            <w:tcBorders>
              <w:top w:val="nil"/>
              <w:left w:val="nil"/>
              <w:bottom w:val="single" w:sz="6" w:space="0" w:color="auto"/>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cs="Times New Roman"/>
                <w:sz w:val="18"/>
                <w:szCs w:val="18"/>
              </w:rPr>
            </w:pPr>
            <w:r w:rsidRPr="0018557B">
              <w:rPr>
                <w:rFonts w:ascii="Times New Roman" w:hAnsi="Times New Roman" w:cs="Times New Roman"/>
                <w:sz w:val="18"/>
                <w:szCs w:val="18"/>
              </w:rPr>
              <w:t>AD</w:t>
            </w:r>
          </w:p>
        </w:tc>
        <w:tc>
          <w:tcPr>
            <w:tcW w:w="1008" w:type="dxa"/>
            <w:tcBorders>
              <w:top w:val="nil"/>
              <w:left w:val="nil"/>
              <w:bottom w:val="single" w:sz="6" w:space="0" w:color="auto"/>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cs="Times New Roman"/>
                <w:sz w:val="18"/>
                <w:szCs w:val="18"/>
              </w:rPr>
            </w:pPr>
            <w:r w:rsidRPr="0018557B">
              <w:rPr>
                <w:rFonts w:ascii="Times New Roman" w:hAnsi="Times New Roman" w:cs="Times New Roman"/>
                <w:sz w:val="18"/>
                <w:szCs w:val="18"/>
              </w:rPr>
              <w:t>AS</w:t>
            </w:r>
          </w:p>
        </w:tc>
        <w:tc>
          <w:tcPr>
            <w:tcW w:w="1008" w:type="dxa"/>
            <w:tcBorders>
              <w:top w:val="nil"/>
              <w:left w:val="nil"/>
              <w:bottom w:val="single" w:sz="6" w:space="0" w:color="auto"/>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cs="Times New Roman"/>
                <w:sz w:val="18"/>
                <w:szCs w:val="18"/>
              </w:rPr>
            </w:pPr>
            <w:r w:rsidRPr="0018557B">
              <w:rPr>
                <w:rFonts w:ascii="Times New Roman" w:hAnsi="Times New Roman" w:cs="Times New Roman"/>
                <w:sz w:val="18"/>
                <w:szCs w:val="18"/>
              </w:rPr>
              <w:t>DISC</w:t>
            </w:r>
          </w:p>
        </w:tc>
        <w:tc>
          <w:tcPr>
            <w:tcW w:w="1008" w:type="dxa"/>
            <w:tcBorders>
              <w:top w:val="nil"/>
              <w:left w:val="nil"/>
              <w:bottom w:val="single" w:sz="6" w:space="0" w:color="auto"/>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cs="Times New Roman"/>
                <w:sz w:val="18"/>
                <w:szCs w:val="18"/>
              </w:rPr>
            </w:pPr>
            <w:r w:rsidRPr="0018557B">
              <w:rPr>
                <w:rFonts w:ascii="Times New Roman" w:hAnsi="Times New Roman" w:cs="Times New Roman"/>
                <w:sz w:val="18"/>
                <w:szCs w:val="18"/>
              </w:rPr>
              <w:t>ACCT</w:t>
            </w:r>
          </w:p>
        </w:tc>
        <w:tc>
          <w:tcPr>
            <w:tcW w:w="1008" w:type="dxa"/>
            <w:tcBorders>
              <w:top w:val="nil"/>
              <w:left w:val="nil"/>
              <w:bottom w:val="single" w:sz="6" w:space="0" w:color="auto"/>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cs="Times New Roman"/>
                <w:sz w:val="18"/>
                <w:szCs w:val="18"/>
              </w:rPr>
            </w:pPr>
            <w:r w:rsidRPr="0018557B">
              <w:rPr>
                <w:rFonts w:ascii="Times New Roman" w:hAnsi="Times New Roman" w:cs="Times New Roman"/>
                <w:sz w:val="18"/>
                <w:szCs w:val="18"/>
              </w:rPr>
              <w:t>EM</w:t>
            </w:r>
          </w:p>
        </w:tc>
        <w:tc>
          <w:tcPr>
            <w:tcW w:w="1008" w:type="dxa"/>
            <w:tcBorders>
              <w:top w:val="nil"/>
              <w:left w:val="nil"/>
              <w:bottom w:val="single" w:sz="6" w:space="0" w:color="auto"/>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cs="Times New Roman"/>
                <w:sz w:val="18"/>
                <w:szCs w:val="18"/>
              </w:rPr>
            </w:pPr>
            <w:r w:rsidRPr="0018557B">
              <w:rPr>
                <w:rFonts w:ascii="Times New Roman" w:hAnsi="Times New Roman" w:cs="Times New Roman"/>
                <w:sz w:val="18"/>
                <w:szCs w:val="18"/>
              </w:rPr>
              <w:t>UK</w:t>
            </w:r>
          </w:p>
        </w:tc>
        <w:tc>
          <w:tcPr>
            <w:tcW w:w="1008" w:type="dxa"/>
            <w:tcBorders>
              <w:top w:val="nil"/>
              <w:left w:val="nil"/>
              <w:bottom w:val="single" w:sz="6" w:space="0" w:color="auto"/>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cs="Times New Roman"/>
                <w:sz w:val="18"/>
                <w:szCs w:val="18"/>
              </w:rPr>
            </w:pPr>
            <w:r w:rsidRPr="0018557B">
              <w:rPr>
                <w:rFonts w:ascii="Times New Roman" w:hAnsi="Times New Roman" w:cs="Times New Roman"/>
                <w:sz w:val="18"/>
                <w:szCs w:val="18"/>
              </w:rPr>
              <w:t>RULE</w:t>
            </w:r>
          </w:p>
        </w:tc>
        <w:tc>
          <w:tcPr>
            <w:tcW w:w="1008" w:type="dxa"/>
            <w:tcBorders>
              <w:top w:val="nil"/>
              <w:left w:val="nil"/>
              <w:bottom w:val="single" w:sz="6" w:space="0" w:color="auto"/>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cs="Times New Roman"/>
                <w:sz w:val="18"/>
                <w:szCs w:val="18"/>
              </w:rPr>
            </w:pPr>
            <w:r w:rsidRPr="0018557B">
              <w:rPr>
                <w:rFonts w:ascii="Times New Roman" w:hAnsi="Times New Roman" w:cs="Times New Roman"/>
                <w:sz w:val="18"/>
                <w:szCs w:val="18"/>
              </w:rPr>
              <w:t>EQUITY</w:t>
            </w:r>
          </w:p>
        </w:tc>
        <w:tc>
          <w:tcPr>
            <w:tcW w:w="1008" w:type="dxa"/>
            <w:tcBorders>
              <w:top w:val="nil"/>
              <w:left w:val="nil"/>
              <w:bottom w:val="single" w:sz="6" w:space="0" w:color="auto"/>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cs="Times New Roman"/>
                <w:sz w:val="18"/>
                <w:szCs w:val="18"/>
              </w:rPr>
            </w:pPr>
            <w:r w:rsidRPr="0018557B">
              <w:rPr>
                <w:rFonts w:ascii="Times New Roman" w:hAnsi="Times New Roman" w:cs="Times New Roman"/>
                <w:sz w:val="18"/>
                <w:szCs w:val="18"/>
              </w:rPr>
              <w:t>CREDIT</w:t>
            </w:r>
          </w:p>
        </w:tc>
        <w:tc>
          <w:tcPr>
            <w:tcW w:w="1008" w:type="dxa"/>
            <w:tcBorders>
              <w:top w:val="nil"/>
              <w:left w:val="nil"/>
              <w:bottom w:val="single" w:sz="6" w:space="0" w:color="auto"/>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cs="Times New Roman"/>
                <w:sz w:val="18"/>
                <w:szCs w:val="18"/>
              </w:rPr>
            </w:pPr>
            <w:r w:rsidRPr="0018557B">
              <w:rPr>
                <w:rFonts w:ascii="Times New Roman" w:hAnsi="Times New Roman" w:cs="Times New Roman"/>
                <w:sz w:val="18"/>
                <w:szCs w:val="18"/>
              </w:rPr>
              <w:t>FD</w:t>
            </w:r>
          </w:p>
        </w:tc>
        <w:tc>
          <w:tcPr>
            <w:tcW w:w="1008" w:type="dxa"/>
            <w:tcBorders>
              <w:top w:val="nil"/>
              <w:left w:val="nil"/>
              <w:bottom w:val="single" w:sz="6" w:space="0" w:color="auto"/>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cs="Times New Roman"/>
                <w:sz w:val="18"/>
                <w:szCs w:val="18"/>
              </w:rPr>
            </w:pPr>
            <w:r w:rsidRPr="0018557B">
              <w:rPr>
                <w:rFonts w:ascii="Times New Roman" w:hAnsi="Times New Roman" w:cs="Times New Roman"/>
                <w:sz w:val="18"/>
                <w:szCs w:val="18"/>
              </w:rPr>
              <w:t>IPO</w:t>
            </w:r>
          </w:p>
        </w:tc>
      </w:tr>
      <w:tr w:rsidR="0018557B" w:rsidTr="0018557B">
        <w:trPr>
          <w:jc w:val="center"/>
        </w:trPr>
        <w:tc>
          <w:tcPr>
            <w:tcW w:w="1440"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r>
      <w:tr w:rsidR="0018557B" w:rsidTr="002A7DE0">
        <w:trPr>
          <w:jc w:val="center"/>
        </w:trPr>
        <w:tc>
          <w:tcPr>
            <w:tcW w:w="1440" w:type="dxa"/>
            <w:tcBorders>
              <w:top w:val="nil"/>
              <w:left w:val="nil"/>
              <w:bottom w:val="nil"/>
              <w:right w:val="nil"/>
            </w:tcBorders>
            <w:vAlign w:val="center"/>
          </w:tcPr>
          <w:p w:rsidR="0018557B" w:rsidRPr="0018557B" w:rsidRDefault="0018557B" w:rsidP="002A7DE0">
            <w:pPr>
              <w:widowControl w:val="0"/>
              <w:autoSpaceDE w:val="0"/>
              <w:autoSpaceDN w:val="0"/>
              <w:adjustRightInd w:val="0"/>
              <w:spacing w:after="0" w:line="240" w:lineRule="auto"/>
              <w:jc w:val="center"/>
              <w:rPr>
                <w:rFonts w:ascii="Times New Roman" w:hAnsi="Times New Roman" w:cs="Times New Roman"/>
                <w:sz w:val="18"/>
                <w:szCs w:val="18"/>
              </w:rPr>
            </w:pPr>
            <w:r w:rsidRPr="0018557B">
              <w:rPr>
                <w:rFonts w:ascii="Times New Roman" w:hAnsi="Times New Roman" w:cs="Times New Roman"/>
                <w:sz w:val="18"/>
                <w:szCs w:val="18"/>
              </w:rPr>
              <w:t>COUNTRY</w:t>
            </w: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w:t>
            </w:r>
          </w:p>
        </w:tc>
        <w:tc>
          <w:tcPr>
            <w:tcW w:w="1008" w:type="dxa"/>
            <w:tcBorders>
              <w:top w:val="nil"/>
              <w:left w:val="nil"/>
              <w:bottom w:val="nil"/>
              <w:right w:val="nil"/>
            </w:tcBorders>
          </w:tcPr>
          <w:p w:rsidR="0018557B" w:rsidRPr="0038069E" w:rsidRDefault="0038069E" w:rsidP="0038069E">
            <w:pPr>
              <w:widowControl w:val="0"/>
              <w:autoSpaceDE w:val="0"/>
              <w:autoSpaceDN w:val="0"/>
              <w:adjustRightInd w:val="0"/>
              <w:spacing w:after="0" w:line="240" w:lineRule="auto"/>
              <w:jc w:val="center"/>
              <w:rPr>
                <w:rFonts w:ascii="Times New Roman" w:hAnsi="Times New Roman"/>
                <w:sz w:val="18"/>
                <w:szCs w:val="18"/>
              </w:rPr>
            </w:pPr>
            <w:r w:rsidRPr="0038069E">
              <w:rPr>
                <w:rFonts w:ascii="Times New Roman" w:hAnsi="Times New Roman" w:cs="Times New Roman"/>
                <w:sz w:val="18"/>
                <w:szCs w:val="16"/>
              </w:rPr>
              <w:t>0.0002</w:t>
            </w: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-0.196</w:t>
            </w:r>
          </w:p>
        </w:tc>
        <w:tc>
          <w:tcPr>
            <w:tcW w:w="1008" w:type="dxa"/>
            <w:tcBorders>
              <w:top w:val="nil"/>
              <w:left w:val="nil"/>
              <w:bottom w:val="nil"/>
              <w:right w:val="nil"/>
            </w:tcBorders>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0.0009*</w:t>
            </w:r>
          </w:p>
        </w:tc>
        <w:tc>
          <w:tcPr>
            <w:tcW w:w="1008" w:type="dxa"/>
            <w:tcBorders>
              <w:top w:val="nil"/>
              <w:left w:val="nil"/>
              <w:bottom w:val="nil"/>
              <w:right w:val="nil"/>
            </w:tcBorders>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0.0017***</w:t>
            </w:r>
          </w:p>
        </w:tc>
        <w:tc>
          <w:tcPr>
            <w:tcW w:w="1008" w:type="dxa"/>
            <w:tcBorders>
              <w:top w:val="nil"/>
              <w:left w:val="nil"/>
              <w:bottom w:val="nil"/>
              <w:right w:val="nil"/>
            </w:tcBorders>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0.0008**</w:t>
            </w: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w:t>
            </w:r>
          </w:p>
        </w:tc>
      </w:tr>
      <w:tr w:rsidR="0018557B" w:rsidTr="004D0A80">
        <w:trPr>
          <w:trHeight w:val="297"/>
          <w:jc w:val="center"/>
        </w:trPr>
        <w:tc>
          <w:tcPr>
            <w:tcW w:w="1440" w:type="dxa"/>
            <w:tcBorders>
              <w:top w:val="nil"/>
              <w:left w:val="nil"/>
              <w:bottom w:val="nil"/>
              <w:right w:val="nil"/>
            </w:tcBorders>
            <w:vAlign w:val="center"/>
          </w:tcPr>
          <w:p w:rsidR="0018557B" w:rsidRPr="0018557B" w:rsidRDefault="0018557B" w:rsidP="002A7DE0">
            <w:pPr>
              <w:widowControl w:val="0"/>
              <w:autoSpaceDE w:val="0"/>
              <w:autoSpaceDN w:val="0"/>
              <w:adjustRightInd w:val="0"/>
              <w:spacing w:after="0" w:line="240" w:lineRule="auto"/>
              <w:jc w:val="center"/>
              <w:rPr>
                <w:rFonts w:ascii="Times New Roman" w:hAnsi="Times New Roman" w:cs="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38069E">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(0.01</w:t>
            </w:r>
            <w:r w:rsidR="0038069E">
              <w:rPr>
                <w:rFonts w:ascii="Times New Roman" w:hAnsi="Times New Roman"/>
                <w:sz w:val="18"/>
                <w:szCs w:val="18"/>
              </w:rPr>
              <w:t>79</w:t>
            </w: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(0.162)</w:t>
            </w:r>
          </w:p>
        </w:tc>
        <w:tc>
          <w:tcPr>
            <w:tcW w:w="1008" w:type="dxa"/>
            <w:tcBorders>
              <w:top w:val="nil"/>
              <w:left w:val="nil"/>
              <w:bottom w:val="nil"/>
              <w:right w:val="nil"/>
            </w:tcBorders>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(0.000</w:t>
            </w:r>
            <w:r w:rsidR="004D0A80">
              <w:rPr>
                <w:rFonts w:ascii="Times New Roman" w:hAnsi="Times New Roman"/>
                <w:sz w:val="18"/>
                <w:szCs w:val="18"/>
              </w:rPr>
              <w:t>5</w:t>
            </w: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(0.0005)</w:t>
            </w:r>
          </w:p>
        </w:tc>
        <w:tc>
          <w:tcPr>
            <w:tcW w:w="1008" w:type="dxa"/>
            <w:tcBorders>
              <w:top w:val="nil"/>
              <w:left w:val="nil"/>
              <w:bottom w:val="nil"/>
              <w:right w:val="nil"/>
            </w:tcBorders>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(0.0003)</w:t>
            </w: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r>
      <w:tr w:rsidR="0018557B" w:rsidTr="002A7DE0">
        <w:trPr>
          <w:jc w:val="center"/>
        </w:trPr>
        <w:tc>
          <w:tcPr>
            <w:tcW w:w="1440" w:type="dxa"/>
            <w:tcBorders>
              <w:top w:val="nil"/>
              <w:left w:val="nil"/>
              <w:bottom w:val="nil"/>
              <w:right w:val="nil"/>
            </w:tcBorders>
            <w:vAlign w:val="center"/>
          </w:tcPr>
          <w:p w:rsidR="0018557B" w:rsidRPr="0018557B" w:rsidRDefault="0018557B" w:rsidP="002D0C41">
            <w:pPr>
              <w:widowControl w:val="0"/>
              <w:autoSpaceDE w:val="0"/>
              <w:autoSpaceDN w:val="0"/>
              <w:adjustRightInd w:val="0"/>
              <w:spacing w:after="0" w:line="240" w:lineRule="auto"/>
              <w:jc w:val="center"/>
              <w:rPr>
                <w:rFonts w:ascii="Times New Roman" w:hAnsi="Times New Roman" w:cs="Times New Roman"/>
                <w:sz w:val="18"/>
                <w:szCs w:val="18"/>
              </w:rPr>
            </w:pPr>
            <w:r w:rsidRPr="0018557B">
              <w:rPr>
                <w:rFonts w:ascii="Times New Roman" w:hAnsi="Times New Roman" w:cs="Times New Roman"/>
                <w:sz w:val="18"/>
                <w:szCs w:val="18"/>
              </w:rPr>
              <w:t>COUNTRY×</w:t>
            </w:r>
            <w:r w:rsidR="002D0C41">
              <w:rPr>
                <w:rFonts w:ascii="Times New Roman" w:hAnsi="Times New Roman" w:cs="Times New Roman"/>
                <w:sz w:val="18"/>
                <w:szCs w:val="18"/>
              </w:rPr>
              <w:t>Q4 Dummy</w:t>
            </w:r>
          </w:p>
        </w:tc>
        <w:tc>
          <w:tcPr>
            <w:tcW w:w="1008" w:type="dxa"/>
            <w:tcBorders>
              <w:top w:val="nil"/>
              <w:left w:val="nil"/>
              <w:bottom w:val="nil"/>
              <w:right w:val="nil"/>
            </w:tcBorders>
          </w:tcPr>
          <w:p w:rsidR="0018557B" w:rsidRPr="0018557B" w:rsidRDefault="0018557B" w:rsidP="0038069E">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-0.037</w:t>
            </w:r>
            <w:r w:rsidR="0038069E">
              <w:rPr>
                <w:rFonts w:ascii="Times New Roman" w:hAnsi="Times New Roman"/>
                <w:sz w:val="18"/>
                <w:szCs w:val="18"/>
              </w:rPr>
              <w:t>7</w:t>
            </w: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38069E">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-0.21</w:t>
            </w:r>
            <w:r w:rsidR="0038069E">
              <w:rPr>
                <w:rFonts w:ascii="Times New Roman" w:hAnsi="Times New Roman"/>
                <w:sz w:val="18"/>
                <w:szCs w:val="18"/>
              </w:rPr>
              <w:t>7</w:t>
            </w: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38069E">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-0.012</w:t>
            </w:r>
            <w:r w:rsidR="0038069E">
              <w:rPr>
                <w:rFonts w:ascii="Times New Roman" w:hAnsi="Times New Roman"/>
                <w:sz w:val="18"/>
                <w:szCs w:val="18"/>
              </w:rPr>
              <w:t>4</w:t>
            </w:r>
          </w:p>
        </w:tc>
        <w:tc>
          <w:tcPr>
            <w:tcW w:w="1008" w:type="dxa"/>
            <w:tcBorders>
              <w:top w:val="nil"/>
              <w:left w:val="nil"/>
              <w:bottom w:val="nil"/>
              <w:right w:val="nil"/>
            </w:tcBorders>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-0.0077***</w:t>
            </w:r>
          </w:p>
        </w:tc>
        <w:tc>
          <w:tcPr>
            <w:tcW w:w="1008" w:type="dxa"/>
            <w:tcBorders>
              <w:top w:val="nil"/>
              <w:left w:val="nil"/>
              <w:bottom w:val="nil"/>
              <w:right w:val="nil"/>
            </w:tcBorders>
          </w:tcPr>
          <w:p w:rsidR="0018557B" w:rsidRPr="0018557B" w:rsidRDefault="0018557B" w:rsidP="0038069E">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0.008</w:t>
            </w:r>
            <w:r w:rsidR="0038069E">
              <w:rPr>
                <w:rFonts w:ascii="Times New Roman" w:hAnsi="Times New Roman"/>
                <w:sz w:val="18"/>
                <w:szCs w:val="18"/>
              </w:rPr>
              <w:t>6</w:t>
            </w: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38069E">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-0.10</w:t>
            </w:r>
            <w:r w:rsidR="0038069E">
              <w:rPr>
                <w:rFonts w:ascii="Times New Roman" w:hAnsi="Times New Roman"/>
                <w:sz w:val="18"/>
                <w:szCs w:val="18"/>
              </w:rPr>
              <w:t>5</w:t>
            </w: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-0.127***</w:t>
            </w:r>
          </w:p>
        </w:tc>
        <w:tc>
          <w:tcPr>
            <w:tcW w:w="1008" w:type="dxa"/>
            <w:tcBorders>
              <w:top w:val="nil"/>
              <w:left w:val="nil"/>
              <w:bottom w:val="nil"/>
              <w:right w:val="nil"/>
            </w:tcBorders>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-0.000</w:t>
            </w:r>
            <w:r w:rsidR="004D0A80">
              <w:rPr>
                <w:rFonts w:ascii="Times New Roman" w:hAnsi="Times New Roman"/>
                <w:sz w:val="18"/>
                <w:szCs w:val="18"/>
              </w:rPr>
              <w:t>3</w:t>
            </w:r>
          </w:p>
        </w:tc>
        <w:tc>
          <w:tcPr>
            <w:tcW w:w="1008" w:type="dxa"/>
            <w:tcBorders>
              <w:top w:val="nil"/>
              <w:left w:val="nil"/>
              <w:bottom w:val="nil"/>
              <w:right w:val="nil"/>
            </w:tcBorders>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-0.001</w:t>
            </w:r>
            <w:r w:rsidR="004D0A80">
              <w:rPr>
                <w:rFonts w:ascii="Times New Roman" w:hAnsi="Times New Roman"/>
                <w:sz w:val="18"/>
                <w:szCs w:val="18"/>
              </w:rPr>
              <w:t>5</w:t>
            </w: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-0.0004**</w:t>
            </w:r>
          </w:p>
        </w:tc>
        <w:tc>
          <w:tcPr>
            <w:tcW w:w="1008" w:type="dxa"/>
            <w:tcBorders>
              <w:top w:val="nil"/>
              <w:left w:val="nil"/>
              <w:bottom w:val="nil"/>
              <w:right w:val="nil"/>
            </w:tcBorders>
          </w:tcPr>
          <w:p w:rsidR="0018557B" w:rsidRPr="0018557B" w:rsidRDefault="0018557B" w:rsidP="0038069E">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-0.015</w:t>
            </w:r>
            <w:r w:rsidR="0038069E">
              <w:rPr>
                <w:rFonts w:ascii="Times New Roman" w:hAnsi="Times New Roman"/>
                <w:sz w:val="18"/>
                <w:szCs w:val="18"/>
              </w:rPr>
              <w:t>9</w:t>
            </w:r>
            <w:r w:rsidRPr="0018557B">
              <w:rPr>
                <w:rFonts w:ascii="Times New Roman" w:hAnsi="Times New Roman"/>
                <w:sz w:val="18"/>
                <w:szCs w:val="18"/>
              </w:rPr>
              <w:t>**</w:t>
            </w:r>
          </w:p>
        </w:tc>
      </w:tr>
      <w:tr w:rsidR="0018557B" w:rsidTr="004D0A80">
        <w:trPr>
          <w:trHeight w:val="306"/>
          <w:jc w:val="center"/>
        </w:trPr>
        <w:tc>
          <w:tcPr>
            <w:tcW w:w="1440"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38069E">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(0.011</w:t>
            </w:r>
            <w:r w:rsidR="0038069E">
              <w:rPr>
                <w:rFonts w:ascii="Times New Roman" w:hAnsi="Times New Roman"/>
                <w:sz w:val="18"/>
                <w:szCs w:val="18"/>
              </w:rPr>
              <w:t>7</w:t>
            </w: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(0.117)</w:t>
            </w: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(0.0122)</w:t>
            </w:r>
          </w:p>
        </w:tc>
        <w:tc>
          <w:tcPr>
            <w:tcW w:w="1008" w:type="dxa"/>
            <w:tcBorders>
              <w:top w:val="nil"/>
              <w:left w:val="nil"/>
              <w:bottom w:val="nil"/>
              <w:right w:val="nil"/>
            </w:tcBorders>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(0.0027)</w:t>
            </w: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(0.00214)</w:t>
            </w: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(0.0538)</w:t>
            </w: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(0.0278)</w:t>
            </w:r>
          </w:p>
        </w:tc>
        <w:tc>
          <w:tcPr>
            <w:tcW w:w="1008" w:type="dxa"/>
            <w:tcBorders>
              <w:top w:val="nil"/>
              <w:left w:val="nil"/>
              <w:bottom w:val="nil"/>
              <w:right w:val="nil"/>
            </w:tcBorders>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(0.000</w:t>
            </w:r>
            <w:r w:rsidR="004D0A80">
              <w:rPr>
                <w:rFonts w:ascii="Times New Roman" w:hAnsi="Times New Roman"/>
                <w:sz w:val="18"/>
                <w:szCs w:val="18"/>
              </w:rPr>
              <w:t>2</w:t>
            </w: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(0.000</w:t>
            </w:r>
            <w:r w:rsidR="004D0A80">
              <w:rPr>
                <w:rFonts w:ascii="Times New Roman" w:hAnsi="Times New Roman"/>
                <w:sz w:val="18"/>
                <w:szCs w:val="18"/>
              </w:rPr>
              <w:t>4</w:t>
            </w: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(0.000</w:t>
            </w:r>
            <w:r w:rsidR="004D0A80">
              <w:rPr>
                <w:rFonts w:ascii="Times New Roman" w:hAnsi="Times New Roman"/>
                <w:sz w:val="18"/>
                <w:szCs w:val="18"/>
              </w:rPr>
              <w:t>2</w:t>
            </w: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(0.0077)</w:t>
            </w:r>
          </w:p>
        </w:tc>
      </w:tr>
      <w:tr w:rsidR="0018557B" w:rsidTr="004D0A80">
        <w:trPr>
          <w:jc w:val="center"/>
        </w:trPr>
        <w:tc>
          <w:tcPr>
            <w:tcW w:w="1440" w:type="dxa"/>
            <w:tcBorders>
              <w:top w:val="nil"/>
              <w:left w:val="nil"/>
              <w:bottom w:val="nil"/>
              <w:right w:val="nil"/>
            </w:tcBorders>
            <w:vAlign w:val="center"/>
          </w:tcPr>
          <w:p w:rsidR="0018557B" w:rsidRPr="0018557B" w:rsidRDefault="0018557B" w:rsidP="002D0C41">
            <w:pPr>
              <w:widowControl w:val="0"/>
              <w:autoSpaceDE w:val="0"/>
              <w:autoSpaceDN w:val="0"/>
              <w:adjustRightInd w:val="0"/>
              <w:spacing w:after="0" w:line="240" w:lineRule="auto"/>
              <w:jc w:val="center"/>
              <w:rPr>
                <w:rFonts w:ascii="Times New Roman" w:hAnsi="Times New Roman" w:cs="Times New Roman"/>
                <w:sz w:val="18"/>
                <w:szCs w:val="18"/>
              </w:rPr>
            </w:pPr>
            <w:r w:rsidRPr="0018557B">
              <w:rPr>
                <w:rFonts w:ascii="Times New Roman" w:hAnsi="Times New Roman" w:cs="Times New Roman"/>
                <w:sz w:val="18"/>
                <w:szCs w:val="18"/>
              </w:rPr>
              <w:t xml:space="preserve">EXTERNAL FINANCE × COUNTRY × </w:t>
            </w:r>
            <w:r w:rsidR="002D0C41">
              <w:rPr>
                <w:rFonts w:ascii="Times New Roman" w:hAnsi="Times New Roman" w:cs="Times New Roman"/>
                <w:sz w:val="18"/>
                <w:szCs w:val="18"/>
              </w:rPr>
              <w:t>Q</w:t>
            </w:r>
            <w:r w:rsidRPr="0018557B">
              <w:rPr>
                <w:rFonts w:ascii="Times New Roman" w:hAnsi="Times New Roman" w:cs="Times New Roman"/>
                <w:sz w:val="18"/>
                <w:szCs w:val="18"/>
              </w:rPr>
              <w:t>4</w:t>
            </w:r>
            <w:r w:rsidR="002D0C41">
              <w:rPr>
                <w:rFonts w:ascii="Times New Roman" w:hAnsi="Times New Roman" w:cs="Times New Roman"/>
                <w:sz w:val="18"/>
                <w:szCs w:val="18"/>
              </w:rPr>
              <w:t xml:space="preserve"> Dummy</w:t>
            </w:r>
          </w:p>
        </w:tc>
        <w:tc>
          <w:tcPr>
            <w:tcW w:w="1008" w:type="dxa"/>
            <w:tcBorders>
              <w:top w:val="nil"/>
              <w:left w:val="nil"/>
              <w:bottom w:val="nil"/>
              <w:right w:val="nil"/>
            </w:tcBorders>
            <w:vAlign w:val="center"/>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-0.0115***</w:t>
            </w:r>
          </w:p>
        </w:tc>
        <w:tc>
          <w:tcPr>
            <w:tcW w:w="1008" w:type="dxa"/>
            <w:tcBorders>
              <w:top w:val="nil"/>
              <w:left w:val="nil"/>
              <w:bottom w:val="nil"/>
              <w:right w:val="nil"/>
            </w:tcBorders>
            <w:vAlign w:val="center"/>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-0.0838***</w:t>
            </w:r>
          </w:p>
        </w:tc>
        <w:tc>
          <w:tcPr>
            <w:tcW w:w="1008" w:type="dxa"/>
            <w:tcBorders>
              <w:top w:val="nil"/>
              <w:left w:val="nil"/>
              <w:bottom w:val="nil"/>
              <w:right w:val="nil"/>
            </w:tcBorders>
            <w:vAlign w:val="center"/>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-0.0076***</w:t>
            </w:r>
          </w:p>
        </w:tc>
        <w:tc>
          <w:tcPr>
            <w:tcW w:w="1008" w:type="dxa"/>
            <w:tcBorders>
              <w:top w:val="nil"/>
              <w:left w:val="nil"/>
              <w:bottom w:val="nil"/>
              <w:right w:val="nil"/>
            </w:tcBorders>
            <w:vAlign w:val="center"/>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-0.0007***</w:t>
            </w:r>
          </w:p>
        </w:tc>
        <w:tc>
          <w:tcPr>
            <w:tcW w:w="1008" w:type="dxa"/>
            <w:tcBorders>
              <w:top w:val="nil"/>
              <w:left w:val="nil"/>
              <w:bottom w:val="nil"/>
              <w:right w:val="nil"/>
            </w:tcBorders>
            <w:vAlign w:val="center"/>
          </w:tcPr>
          <w:p w:rsidR="0018557B" w:rsidRPr="0018557B" w:rsidRDefault="0018557B" w:rsidP="0038069E">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-0.001</w:t>
            </w:r>
            <w:r w:rsidR="0038069E">
              <w:rPr>
                <w:rFonts w:ascii="Times New Roman" w:hAnsi="Times New Roman"/>
                <w:sz w:val="18"/>
                <w:szCs w:val="18"/>
              </w:rPr>
              <w:t>3</w:t>
            </w:r>
          </w:p>
        </w:tc>
        <w:tc>
          <w:tcPr>
            <w:tcW w:w="1008" w:type="dxa"/>
            <w:tcBorders>
              <w:top w:val="nil"/>
              <w:left w:val="nil"/>
              <w:bottom w:val="nil"/>
              <w:right w:val="nil"/>
            </w:tcBorders>
            <w:vAlign w:val="center"/>
          </w:tcPr>
          <w:p w:rsidR="0018557B" w:rsidRPr="0018557B" w:rsidRDefault="0018557B" w:rsidP="0038069E">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w:t>
            </w:r>
            <w:r w:rsidR="0038069E">
              <w:rPr>
                <w:rFonts w:ascii="Times New Roman" w:hAnsi="Times New Roman"/>
                <w:sz w:val="18"/>
                <w:szCs w:val="18"/>
              </w:rPr>
              <w:t>501</w:t>
            </w:r>
            <w:r w:rsidRPr="0018557B">
              <w:rPr>
                <w:rFonts w:ascii="Times New Roman" w:hAnsi="Times New Roman"/>
                <w:sz w:val="18"/>
                <w:szCs w:val="18"/>
              </w:rPr>
              <w:t>***</w:t>
            </w:r>
          </w:p>
        </w:tc>
        <w:tc>
          <w:tcPr>
            <w:tcW w:w="1008" w:type="dxa"/>
            <w:tcBorders>
              <w:top w:val="nil"/>
              <w:left w:val="nil"/>
              <w:bottom w:val="nil"/>
              <w:right w:val="nil"/>
            </w:tcBorders>
            <w:vAlign w:val="center"/>
          </w:tcPr>
          <w:p w:rsidR="0018557B" w:rsidRPr="0018557B" w:rsidRDefault="0018557B" w:rsidP="0038069E">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-0.02</w:t>
            </w:r>
            <w:r w:rsidR="0038069E">
              <w:rPr>
                <w:rFonts w:ascii="Times New Roman" w:hAnsi="Times New Roman"/>
                <w:sz w:val="18"/>
                <w:szCs w:val="18"/>
              </w:rPr>
              <w:t>48</w:t>
            </w:r>
            <w:r w:rsidRPr="0018557B">
              <w:rPr>
                <w:rFonts w:ascii="Times New Roman" w:hAnsi="Times New Roman"/>
                <w:sz w:val="18"/>
                <w:szCs w:val="18"/>
              </w:rPr>
              <w:t>***</w:t>
            </w:r>
          </w:p>
        </w:tc>
        <w:tc>
          <w:tcPr>
            <w:tcW w:w="1008" w:type="dxa"/>
            <w:tcBorders>
              <w:top w:val="nil"/>
              <w:left w:val="nil"/>
              <w:bottom w:val="nil"/>
              <w:right w:val="nil"/>
            </w:tcBorders>
            <w:vAlign w:val="center"/>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-0.0003*</w:t>
            </w:r>
          </w:p>
        </w:tc>
        <w:tc>
          <w:tcPr>
            <w:tcW w:w="1008" w:type="dxa"/>
            <w:tcBorders>
              <w:top w:val="nil"/>
              <w:left w:val="nil"/>
              <w:bottom w:val="nil"/>
              <w:right w:val="nil"/>
            </w:tcBorders>
            <w:vAlign w:val="center"/>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-0.0002***</w:t>
            </w:r>
          </w:p>
        </w:tc>
        <w:tc>
          <w:tcPr>
            <w:tcW w:w="1008" w:type="dxa"/>
            <w:tcBorders>
              <w:top w:val="nil"/>
              <w:left w:val="nil"/>
              <w:bottom w:val="nil"/>
              <w:right w:val="nil"/>
            </w:tcBorders>
            <w:vAlign w:val="center"/>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-0.0002***</w:t>
            </w:r>
          </w:p>
        </w:tc>
        <w:tc>
          <w:tcPr>
            <w:tcW w:w="1008" w:type="dxa"/>
            <w:tcBorders>
              <w:top w:val="nil"/>
              <w:left w:val="nil"/>
              <w:bottom w:val="nil"/>
              <w:right w:val="nil"/>
            </w:tcBorders>
            <w:vAlign w:val="center"/>
          </w:tcPr>
          <w:p w:rsidR="0018557B" w:rsidRPr="0018557B" w:rsidRDefault="0018557B" w:rsidP="004D0A8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-0.0070**</w:t>
            </w:r>
          </w:p>
        </w:tc>
      </w:tr>
      <w:tr w:rsidR="0018557B" w:rsidTr="0018557B">
        <w:trPr>
          <w:jc w:val="center"/>
        </w:trPr>
        <w:tc>
          <w:tcPr>
            <w:tcW w:w="1440"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18557B">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(0.0025)</w:t>
            </w:r>
          </w:p>
        </w:tc>
        <w:tc>
          <w:tcPr>
            <w:tcW w:w="1008" w:type="dxa"/>
            <w:tcBorders>
              <w:top w:val="nil"/>
              <w:left w:val="nil"/>
              <w:bottom w:val="nil"/>
              <w:right w:val="nil"/>
            </w:tcBorders>
          </w:tcPr>
          <w:p w:rsidR="0018557B" w:rsidRPr="0018557B" w:rsidRDefault="0018557B" w:rsidP="0038069E">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(0.020</w:t>
            </w:r>
            <w:r w:rsidR="0038069E">
              <w:rPr>
                <w:rFonts w:ascii="Times New Roman" w:hAnsi="Times New Roman"/>
                <w:sz w:val="18"/>
                <w:szCs w:val="18"/>
              </w:rPr>
              <w:t>9</w:t>
            </w: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18557B">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(0.0019)</w:t>
            </w:r>
          </w:p>
        </w:tc>
        <w:tc>
          <w:tcPr>
            <w:tcW w:w="1008" w:type="dxa"/>
            <w:tcBorders>
              <w:top w:val="nil"/>
              <w:left w:val="nil"/>
              <w:bottom w:val="nil"/>
              <w:right w:val="nil"/>
            </w:tcBorders>
          </w:tcPr>
          <w:p w:rsidR="0018557B" w:rsidRPr="0018557B" w:rsidRDefault="0018557B" w:rsidP="0018557B">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(0.0002)</w:t>
            </w:r>
          </w:p>
        </w:tc>
        <w:tc>
          <w:tcPr>
            <w:tcW w:w="1008" w:type="dxa"/>
            <w:tcBorders>
              <w:top w:val="nil"/>
              <w:left w:val="nil"/>
              <w:bottom w:val="nil"/>
              <w:right w:val="nil"/>
            </w:tcBorders>
          </w:tcPr>
          <w:p w:rsidR="0018557B" w:rsidRPr="0018557B" w:rsidRDefault="0018557B" w:rsidP="0038069E">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(0.001</w:t>
            </w:r>
            <w:r w:rsidR="0038069E">
              <w:rPr>
                <w:rFonts w:ascii="Times New Roman" w:hAnsi="Times New Roman"/>
                <w:sz w:val="18"/>
                <w:szCs w:val="18"/>
              </w:rPr>
              <w:t>1</w:t>
            </w: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(0.0144)</w:t>
            </w:r>
          </w:p>
        </w:tc>
        <w:tc>
          <w:tcPr>
            <w:tcW w:w="1008" w:type="dxa"/>
            <w:tcBorders>
              <w:top w:val="nil"/>
              <w:left w:val="nil"/>
              <w:bottom w:val="nil"/>
              <w:right w:val="nil"/>
            </w:tcBorders>
          </w:tcPr>
          <w:p w:rsidR="0018557B" w:rsidRPr="0018557B" w:rsidRDefault="0018557B" w:rsidP="0038069E">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(0.008</w:t>
            </w:r>
            <w:r w:rsidR="0038069E">
              <w:rPr>
                <w:rFonts w:ascii="Times New Roman" w:hAnsi="Times New Roman"/>
                <w:sz w:val="18"/>
                <w:szCs w:val="18"/>
              </w:rPr>
              <w:t>2</w:t>
            </w:r>
            <w:r w:rsidRPr="0018557B">
              <w:rPr>
                <w:rFonts w:ascii="Times New Roman" w:hAnsi="Times New Roman"/>
                <w:sz w:val="18"/>
                <w:szCs w:val="18"/>
              </w:rPr>
              <w:t>)</w:t>
            </w:r>
          </w:p>
        </w:tc>
        <w:tc>
          <w:tcPr>
            <w:tcW w:w="1008" w:type="dxa"/>
            <w:tcBorders>
              <w:top w:val="nil"/>
              <w:left w:val="nil"/>
              <w:bottom w:val="nil"/>
              <w:right w:val="nil"/>
            </w:tcBorders>
          </w:tcPr>
          <w:p w:rsidR="0018557B" w:rsidRPr="0018557B" w:rsidRDefault="0018557B" w:rsidP="0018557B">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(0.0002)</w:t>
            </w:r>
          </w:p>
        </w:tc>
        <w:tc>
          <w:tcPr>
            <w:tcW w:w="1008" w:type="dxa"/>
            <w:tcBorders>
              <w:top w:val="nil"/>
              <w:left w:val="nil"/>
              <w:bottom w:val="nil"/>
              <w:right w:val="nil"/>
            </w:tcBorders>
          </w:tcPr>
          <w:p w:rsidR="0018557B" w:rsidRPr="0018557B" w:rsidRDefault="0018557B" w:rsidP="0038069E">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w:t>
            </w:r>
            <w:r w:rsidR="0038069E">
              <w:rPr>
                <w:rFonts w:ascii="Times New Roman" w:hAnsi="Times New Roman"/>
                <w:sz w:val="18"/>
                <w:szCs w:val="18"/>
              </w:rPr>
              <w:t>6.00e</w:t>
            </w:r>
            <w:r w:rsidRPr="0018557B">
              <w:rPr>
                <w:rFonts w:ascii="Times New Roman" w:hAnsi="Times New Roman"/>
                <w:sz w:val="18"/>
                <w:szCs w:val="18"/>
              </w:rPr>
              <w:t>-05)</w:t>
            </w:r>
          </w:p>
        </w:tc>
        <w:tc>
          <w:tcPr>
            <w:tcW w:w="1008" w:type="dxa"/>
            <w:tcBorders>
              <w:top w:val="nil"/>
              <w:left w:val="nil"/>
              <w:bottom w:val="nil"/>
              <w:right w:val="nil"/>
            </w:tcBorders>
          </w:tcPr>
          <w:p w:rsidR="0018557B" w:rsidRPr="0018557B" w:rsidRDefault="0018557B" w:rsidP="0038069E">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(3.3</w:t>
            </w:r>
            <w:r w:rsidR="0038069E">
              <w:rPr>
                <w:rFonts w:ascii="Times New Roman" w:hAnsi="Times New Roman"/>
                <w:sz w:val="18"/>
                <w:szCs w:val="18"/>
              </w:rPr>
              <w:t>6</w:t>
            </w:r>
            <w:r w:rsidRPr="0018557B">
              <w:rPr>
                <w:rFonts w:ascii="Times New Roman" w:hAnsi="Times New Roman"/>
                <w:sz w:val="18"/>
                <w:szCs w:val="18"/>
              </w:rPr>
              <w:t>e-05)</w:t>
            </w:r>
          </w:p>
        </w:tc>
        <w:tc>
          <w:tcPr>
            <w:tcW w:w="1008" w:type="dxa"/>
            <w:tcBorders>
              <w:top w:val="nil"/>
              <w:left w:val="nil"/>
              <w:bottom w:val="nil"/>
              <w:right w:val="nil"/>
            </w:tcBorders>
          </w:tcPr>
          <w:p w:rsidR="0018557B" w:rsidRPr="0018557B" w:rsidRDefault="0018557B" w:rsidP="0018557B">
            <w:pPr>
              <w:widowControl w:val="0"/>
              <w:autoSpaceDE w:val="0"/>
              <w:autoSpaceDN w:val="0"/>
              <w:adjustRightInd w:val="0"/>
              <w:spacing w:after="0" w:line="240" w:lineRule="auto"/>
              <w:jc w:val="center"/>
              <w:rPr>
                <w:rFonts w:ascii="Times New Roman" w:hAnsi="Times New Roman"/>
                <w:sz w:val="18"/>
                <w:szCs w:val="18"/>
              </w:rPr>
            </w:pPr>
            <w:r w:rsidRPr="0018557B">
              <w:rPr>
                <w:rFonts w:ascii="Times New Roman" w:hAnsi="Times New Roman"/>
                <w:sz w:val="18"/>
                <w:szCs w:val="18"/>
              </w:rPr>
              <w:t>(0.0032)</w:t>
            </w:r>
          </w:p>
        </w:tc>
      </w:tr>
      <w:tr w:rsidR="0018557B" w:rsidTr="0018557B">
        <w:trPr>
          <w:jc w:val="center"/>
        </w:trPr>
        <w:tc>
          <w:tcPr>
            <w:tcW w:w="1440"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c>
          <w:tcPr>
            <w:tcW w:w="1008" w:type="dxa"/>
            <w:tcBorders>
              <w:top w:val="nil"/>
              <w:left w:val="nil"/>
              <w:bottom w:val="nil"/>
              <w:right w:val="nil"/>
            </w:tcBorders>
          </w:tcPr>
          <w:p w:rsidR="0018557B" w:rsidRPr="0018557B" w:rsidRDefault="0018557B" w:rsidP="002A7DE0">
            <w:pPr>
              <w:widowControl w:val="0"/>
              <w:autoSpaceDE w:val="0"/>
              <w:autoSpaceDN w:val="0"/>
              <w:adjustRightInd w:val="0"/>
              <w:spacing w:after="0" w:line="240" w:lineRule="auto"/>
              <w:jc w:val="center"/>
              <w:rPr>
                <w:rFonts w:ascii="Times New Roman" w:hAnsi="Times New Roman"/>
                <w:sz w:val="18"/>
                <w:szCs w:val="18"/>
              </w:rPr>
            </w:pPr>
          </w:p>
        </w:tc>
      </w:tr>
      <w:tr w:rsidR="0038069E" w:rsidRPr="004D0A80" w:rsidTr="0018557B">
        <w:trPr>
          <w:jc w:val="center"/>
        </w:trPr>
        <w:tc>
          <w:tcPr>
            <w:tcW w:w="1440" w:type="dxa"/>
            <w:tcBorders>
              <w:top w:val="nil"/>
              <w:left w:val="nil"/>
              <w:bottom w:val="nil"/>
              <w:right w:val="nil"/>
            </w:tcBorders>
          </w:tcPr>
          <w:p w:rsidR="0038069E" w:rsidRPr="004D0A80" w:rsidRDefault="0038069E" w:rsidP="002A7DE0">
            <w:pPr>
              <w:widowControl w:val="0"/>
              <w:autoSpaceDE w:val="0"/>
              <w:autoSpaceDN w:val="0"/>
              <w:adjustRightInd w:val="0"/>
              <w:spacing w:after="0" w:line="240" w:lineRule="auto"/>
              <w:rPr>
                <w:rFonts w:ascii="Times New Roman" w:hAnsi="Times New Roman"/>
                <w:sz w:val="18"/>
                <w:szCs w:val="18"/>
              </w:rPr>
            </w:pPr>
            <w:r w:rsidRPr="004D0A80">
              <w:rPr>
                <w:rFonts w:ascii="Times New Roman" w:hAnsi="Times New Roman"/>
                <w:sz w:val="18"/>
                <w:szCs w:val="18"/>
              </w:rPr>
              <w:t>Observations</w:t>
            </w:r>
          </w:p>
        </w:tc>
        <w:tc>
          <w:tcPr>
            <w:tcW w:w="1008" w:type="dxa"/>
            <w:tcBorders>
              <w:top w:val="nil"/>
              <w:left w:val="nil"/>
              <w:bottom w:val="nil"/>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199,077</w:t>
            </w:r>
          </w:p>
        </w:tc>
        <w:tc>
          <w:tcPr>
            <w:tcW w:w="1008" w:type="dxa"/>
            <w:tcBorders>
              <w:top w:val="nil"/>
              <w:left w:val="nil"/>
              <w:bottom w:val="nil"/>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203,768</w:t>
            </w:r>
          </w:p>
        </w:tc>
        <w:tc>
          <w:tcPr>
            <w:tcW w:w="1008" w:type="dxa"/>
            <w:tcBorders>
              <w:top w:val="nil"/>
              <w:left w:val="nil"/>
              <w:bottom w:val="nil"/>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193,623</w:t>
            </w:r>
          </w:p>
        </w:tc>
        <w:tc>
          <w:tcPr>
            <w:tcW w:w="1008" w:type="dxa"/>
            <w:tcBorders>
              <w:top w:val="nil"/>
              <w:left w:val="nil"/>
              <w:bottom w:val="nil"/>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191,827</w:t>
            </w:r>
          </w:p>
        </w:tc>
        <w:tc>
          <w:tcPr>
            <w:tcW w:w="1008" w:type="dxa"/>
            <w:tcBorders>
              <w:top w:val="nil"/>
              <w:left w:val="nil"/>
              <w:bottom w:val="nil"/>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185,291</w:t>
            </w:r>
          </w:p>
        </w:tc>
        <w:tc>
          <w:tcPr>
            <w:tcW w:w="1008" w:type="dxa"/>
            <w:tcBorders>
              <w:top w:val="nil"/>
              <w:left w:val="nil"/>
              <w:bottom w:val="nil"/>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206,565</w:t>
            </w:r>
          </w:p>
        </w:tc>
        <w:tc>
          <w:tcPr>
            <w:tcW w:w="1008" w:type="dxa"/>
            <w:tcBorders>
              <w:top w:val="nil"/>
              <w:left w:val="nil"/>
              <w:bottom w:val="nil"/>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206,565</w:t>
            </w:r>
          </w:p>
        </w:tc>
        <w:tc>
          <w:tcPr>
            <w:tcW w:w="1008" w:type="dxa"/>
            <w:tcBorders>
              <w:top w:val="nil"/>
              <w:left w:val="nil"/>
              <w:bottom w:val="nil"/>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187,735</w:t>
            </w:r>
          </w:p>
        </w:tc>
        <w:tc>
          <w:tcPr>
            <w:tcW w:w="1008" w:type="dxa"/>
            <w:tcBorders>
              <w:top w:val="nil"/>
              <w:left w:val="nil"/>
              <w:bottom w:val="nil"/>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193,845</w:t>
            </w:r>
          </w:p>
        </w:tc>
        <w:tc>
          <w:tcPr>
            <w:tcW w:w="1008" w:type="dxa"/>
            <w:tcBorders>
              <w:top w:val="nil"/>
              <w:left w:val="nil"/>
              <w:bottom w:val="nil"/>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175,198</w:t>
            </w:r>
          </w:p>
        </w:tc>
        <w:tc>
          <w:tcPr>
            <w:tcW w:w="1008" w:type="dxa"/>
            <w:tcBorders>
              <w:top w:val="nil"/>
              <w:left w:val="nil"/>
              <w:bottom w:val="nil"/>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199,077</w:t>
            </w:r>
          </w:p>
        </w:tc>
      </w:tr>
      <w:tr w:rsidR="0038069E" w:rsidTr="0018557B">
        <w:tblPrEx>
          <w:tblBorders>
            <w:bottom w:val="single" w:sz="6" w:space="0" w:color="auto"/>
          </w:tblBorders>
        </w:tblPrEx>
        <w:trPr>
          <w:jc w:val="center"/>
        </w:trPr>
        <w:tc>
          <w:tcPr>
            <w:tcW w:w="1440" w:type="dxa"/>
            <w:tcBorders>
              <w:top w:val="nil"/>
              <w:left w:val="nil"/>
              <w:bottom w:val="double" w:sz="4" w:space="0" w:color="auto"/>
              <w:right w:val="nil"/>
            </w:tcBorders>
          </w:tcPr>
          <w:p w:rsidR="0038069E" w:rsidRPr="0018557B" w:rsidRDefault="0038069E" w:rsidP="002A7DE0">
            <w:pPr>
              <w:widowControl w:val="0"/>
              <w:autoSpaceDE w:val="0"/>
              <w:autoSpaceDN w:val="0"/>
              <w:adjustRightInd w:val="0"/>
              <w:spacing w:after="0" w:line="240" w:lineRule="auto"/>
              <w:rPr>
                <w:rFonts w:ascii="Times New Roman" w:hAnsi="Times New Roman"/>
                <w:sz w:val="18"/>
                <w:szCs w:val="18"/>
              </w:rPr>
            </w:pPr>
            <w:r w:rsidRPr="0018557B">
              <w:rPr>
                <w:rFonts w:ascii="Times New Roman" w:hAnsi="Times New Roman"/>
                <w:sz w:val="18"/>
                <w:szCs w:val="18"/>
              </w:rPr>
              <w:t>R-squared</w:t>
            </w:r>
          </w:p>
        </w:tc>
        <w:tc>
          <w:tcPr>
            <w:tcW w:w="1008" w:type="dxa"/>
            <w:tcBorders>
              <w:top w:val="nil"/>
              <w:left w:val="nil"/>
              <w:bottom w:val="double" w:sz="4" w:space="0" w:color="auto"/>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0.589</w:t>
            </w:r>
          </w:p>
        </w:tc>
        <w:tc>
          <w:tcPr>
            <w:tcW w:w="1008" w:type="dxa"/>
            <w:tcBorders>
              <w:top w:val="nil"/>
              <w:left w:val="nil"/>
              <w:bottom w:val="double" w:sz="4" w:space="0" w:color="auto"/>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0.586</w:t>
            </w:r>
          </w:p>
        </w:tc>
        <w:tc>
          <w:tcPr>
            <w:tcW w:w="1008" w:type="dxa"/>
            <w:tcBorders>
              <w:top w:val="nil"/>
              <w:left w:val="nil"/>
              <w:bottom w:val="double" w:sz="4" w:space="0" w:color="auto"/>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0.588</w:t>
            </w:r>
          </w:p>
        </w:tc>
        <w:tc>
          <w:tcPr>
            <w:tcW w:w="1008" w:type="dxa"/>
            <w:tcBorders>
              <w:top w:val="nil"/>
              <w:left w:val="nil"/>
              <w:bottom w:val="double" w:sz="4" w:space="0" w:color="auto"/>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0.596</w:t>
            </w:r>
          </w:p>
        </w:tc>
        <w:tc>
          <w:tcPr>
            <w:tcW w:w="1008" w:type="dxa"/>
            <w:tcBorders>
              <w:top w:val="nil"/>
              <w:left w:val="nil"/>
              <w:bottom w:val="double" w:sz="4" w:space="0" w:color="auto"/>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0.597</w:t>
            </w:r>
          </w:p>
        </w:tc>
        <w:tc>
          <w:tcPr>
            <w:tcW w:w="1008" w:type="dxa"/>
            <w:tcBorders>
              <w:top w:val="nil"/>
              <w:left w:val="nil"/>
              <w:bottom w:val="double" w:sz="4" w:space="0" w:color="auto"/>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0.584</w:t>
            </w:r>
          </w:p>
        </w:tc>
        <w:tc>
          <w:tcPr>
            <w:tcW w:w="1008" w:type="dxa"/>
            <w:tcBorders>
              <w:top w:val="nil"/>
              <w:left w:val="nil"/>
              <w:bottom w:val="double" w:sz="4" w:space="0" w:color="auto"/>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0.584</w:t>
            </w:r>
          </w:p>
        </w:tc>
        <w:tc>
          <w:tcPr>
            <w:tcW w:w="1008" w:type="dxa"/>
            <w:tcBorders>
              <w:top w:val="nil"/>
              <w:left w:val="nil"/>
              <w:bottom w:val="double" w:sz="4" w:space="0" w:color="auto"/>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0.590</w:t>
            </w:r>
          </w:p>
        </w:tc>
        <w:tc>
          <w:tcPr>
            <w:tcW w:w="1008" w:type="dxa"/>
            <w:tcBorders>
              <w:top w:val="nil"/>
              <w:left w:val="nil"/>
              <w:bottom w:val="double" w:sz="4" w:space="0" w:color="auto"/>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0.585</w:t>
            </w:r>
          </w:p>
        </w:tc>
        <w:tc>
          <w:tcPr>
            <w:tcW w:w="1008" w:type="dxa"/>
            <w:tcBorders>
              <w:top w:val="nil"/>
              <w:left w:val="nil"/>
              <w:bottom w:val="double" w:sz="4" w:space="0" w:color="auto"/>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0.591</w:t>
            </w:r>
          </w:p>
        </w:tc>
        <w:tc>
          <w:tcPr>
            <w:tcW w:w="1008" w:type="dxa"/>
            <w:tcBorders>
              <w:top w:val="nil"/>
              <w:left w:val="nil"/>
              <w:bottom w:val="double" w:sz="4" w:space="0" w:color="auto"/>
              <w:right w:val="nil"/>
            </w:tcBorders>
          </w:tcPr>
          <w:p w:rsidR="0038069E" w:rsidRPr="0038069E" w:rsidRDefault="0038069E" w:rsidP="003F7D8D">
            <w:pPr>
              <w:widowControl w:val="0"/>
              <w:autoSpaceDE w:val="0"/>
              <w:autoSpaceDN w:val="0"/>
              <w:adjustRightInd w:val="0"/>
              <w:spacing w:after="0" w:line="240" w:lineRule="auto"/>
              <w:jc w:val="center"/>
              <w:rPr>
                <w:rFonts w:ascii="Times New Roman" w:hAnsi="Times New Roman" w:cs="Times New Roman"/>
                <w:sz w:val="18"/>
                <w:szCs w:val="16"/>
              </w:rPr>
            </w:pPr>
            <w:r w:rsidRPr="0038069E">
              <w:rPr>
                <w:rFonts w:ascii="Times New Roman" w:hAnsi="Times New Roman" w:cs="Times New Roman"/>
                <w:sz w:val="18"/>
                <w:szCs w:val="16"/>
              </w:rPr>
              <w:t>0.589</w:t>
            </w:r>
          </w:p>
        </w:tc>
      </w:tr>
    </w:tbl>
    <w:p w:rsidR="00CC153B" w:rsidRDefault="00CC153B" w:rsidP="00CC153B">
      <w:pPr>
        <w:rPr>
          <w:rFonts w:ascii="Times New Roman" w:hAnsi="Times New Roman" w:cs="Times New Roman"/>
          <w:b/>
          <w:sz w:val="20"/>
          <w:szCs w:val="16"/>
        </w:rPr>
      </w:pPr>
      <w:r>
        <w:rPr>
          <w:rFonts w:ascii="Times New Roman" w:hAnsi="Times New Roman" w:cs="Times New Roman"/>
          <w:b/>
          <w:sz w:val="20"/>
          <w:szCs w:val="16"/>
        </w:rPr>
        <w:br w:type="page"/>
      </w:r>
    </w:p>
    <w:p w:rsidR="00CC153B" w:rsidRDefault="00CC153B" w:rsidP="00CC153B">
      <w:pPr>
        <w:spacing w:after="120" w:line="240" w:lineRule="auto"/>
        <w:rPr>
          <w:rFonts w:ascii="Times New Roman" w:hAnsi="Times New Roman" w:cs="Times New Roman"/>
          <w:b/>
          <w:sz w:val="20"/>
          <w:szCs w:val="16"/>
        </w:rPr>
        <w:sectPr w:rsidR="00CC153B" w:rsidSect="003465DB">
          <w:footnotePr>
            <w:numFmt w:val="chicago"/>
          </w:footnotePr>
          <w:pgSz w:w="15840" w:h="12240" w:orient="landscape" w:code="1"/>
          <w:pgMar w:top="1440" w:right="1440" w:bottom="1440" w:left="1267" w:header="720" w:footer="720" w:gutter="0"/>
          <w:cols w:space="720"/>
          <w:docGrid w:linePitch="360"/>
        </w:sectPr>
      </w:pPr>
    </w:p>
    <w:p w:rsidR="00CC153B" w:rsidRPr="00EE1141" w:rsidRDefault="00CC153B" w:rsidP="00CC153B">
      <w:pPr>
        <w:spacing w:after="120" w:line="240" w:lineRule="auto"/>
        <w:rPr>
          <w:rFonts w:ascii="Times New Roman" w:hAnsi="Times New Roman" w:cs="Times New Roman"/>
          <w:b/>
          <w:sz w:val="20"/>
          <w:szCs w:val="16"/>
        </w:rPr>
      </w:pPr>
      <w:r w:rsidRPr="00EE1141">
        <w:rPr>
          <w:rFonts w:ascii="Times New Roman" w:hAnsi="Times New Roman" w:cs="Times New Roman"/>
          <w:b/>
          <w:sz w:val="20"/>
          <w:szCs w:val="16"/>
        </w:rPr>
        <w:lastRenderedPageBreak/>
        <w:t xml:space="preserve">Table </w:t>
      </w:r>
      <w:r>
        <w:rPr>
          <w:rFonts w:ascii="Times New Roman" w:hAnsi="Times New Roman" w:cs="Times New Roman"/>
          <w:b/>
          <w:sz w:val="20"/>
          <w:szCs w:val="16"/>
        </w:rPr>
        <w:t>10</w:t>
      </w:r>
      <w:r w:rsidRPr="00EE1141">
        <w:rPr>
          <w:rFonts w:ascii="Times New Roman" w:hAnsi="Times New Roman" w:cs="Times New Roman"/>
          <w:b/>
          <w:sz w:val="20"/>
          <w:szCs w:val="16"/>
        </w:rPr>
        <w:t xml:space="preserve"> – </w:t>
      </w:r>
      <w:r w:rsidR="00122B94">
        <w:rPr>
          <w:rFonts w:ascii="Times New Roman" w:hAnsi="Times New Roman" w:cs="Times New Roman"/>
          <w:b/>
          <w:sz w:val="20"/>
          <w:szCs w:val="16"/>
        </w:rPr>
        <w:t>C</w:t>
      </w:r>
      <w:r w:rsidRPr="00EE1141">
        <w:rPr>
          <w:rFonts w:ascii="Times New Roman" w:hAnsi="Times New Roman" w:cs="Times New Roman"/>
          <w:b/>
          <w:sz w:val="20"/>
          <w:szCs w:val="16"/>
        </w:rPr>
        <w:t xml:space="preserve">ountry-level </w:t>
      </w:r>
      <w:r w:rsidR="00122B94">
        <w:rPr>
          <w:rFonts w:ascii="Times New Roman" w:hAnsi="Times New Roman" w:cs="Times New Roman"/>
          <w:b/>
          <w:sz w:val="20"/>
          <w:szCs w:val="16"/>
        </w:rPr>
        <w:t>T</w:t>
      </w:r>
      <w:r w:rsidRPr="00EE1141">
        <w:rPr>
          <w:rFonts w:ascii="Times New Roman" w:hAnsi="Times New Roman" w:cs="Times New Roman"/>
          <w:b/>
          <w:sz w:val="20"/>
          <w:szCs w:val="16"/>
        </w:rPr>
        <w:t xml:space="preserve">ax </w:t>
      </w:r>
      <w:r w:rsidR="00122B94">
        <w:rPr>
          <w:rFonts w:ascii="Times New Roman" w:hAnsi="Times New Roman" w:cs="Times New Roman"/>
          <w:b/>
          <w:sz w:val="20"/>
          <w:szCs w:val="16"/>
        </w:rPr>
        <w:t>R</w:t>
      </w:r>
      <w:r w:rsidRPr="00EE1141">
        <w:rPr>
          <w:rFonts w:ascii="Times New Roman" w:hAnsi="Times New Roman" w:cs="Times New Roman"/>
          <w:b/>
          <w:sz w:val="20"/>
          <w:szCs w:val="16"/>
        </w:rPr>
        <w:t xml:space="preserve">ate </w:t>
      </w:r>
    </w:p>
    <w:p w:rsidR="00CC153B" w:rsidRPr="00EE1141" w:rsidRDefault="00CC153B" w:rsidP="00CC153B">
      <w:pPr>
        <w:spacing w:after="240" w:line="240" w:lineRule="auto"/>
        <w:ind w:firstLine="288"/>
        <w:rPr>
          <w:rFonts w:ascii="Times New Roman" w:hAnsi="Times New Roman" w:cs="Times New Roman"/>
          <w:sz w:val="16"/>
          <w:szCs w:val="16"/>
        </w:rPr>
      </w:pPr>
      <w:r w:rsidRPr="00EE1141">
        <w:rPr>
          <w:rFonts w:ascii="Times New Roman" w:hAnsi="Times New Roman" w:cs="Times New Roman"/>
          <w:sz w:val="16"/>
          <w:szCs w:val="16"/>
        </w:rPr>
        <w:t xml:space="preserve">This table reports the results of regressions of capital expenditures on the country-level </w:t>
      </w:r>
      <w:r>
        <w:rPr>
          <w:rFonts w:ascii="Times New Roman" w:hAnsi="Times New Roman" w:cs="Times New Roman"/>
          <w:sz w:val="16"/>
          <w:szCs w:val="16"/>
        </w:rPr>
        <w:t>tax rate and its interaction</w:t>
      </w:r>
      <w:r w:rsidRPr="00EE1141">
        <w:rPr>
          <w:rFonts w:ascii="Times New Roman" w:hAnsi="Times New Roman" w:cs="Times New Roman"/>
          <w:sz w:val="16"/>
          <w:szCs w:val="16"/>
        </w:rPr>
        <w:t xml:space="preserve"> with </w:t>
      </w:r>
      <w:r w:rsidR="00050F48" w:rsidRPr="00EE1141">
        <w:rPr>
          <w:rFonts w:ascii="Times New Roman" w:hAnsi="Times New Roman" w:cs="Times New Roman"/>
          <w:sz w:val="16"/>
          <w:szCs w:val="16"/>
        </w:rPr>
        <w:t>fourth</w:t>
      </w:r>
      <w:r w:rsidRPr="00EE1141">
        <w:rPr>
          <w:rFonts w:ascii="Times New Roman" w:hAnsi="Times New Roman" w:cs="Times New Roman"/>
          <w:sz w:val="16"/>
          <w:szCs w:val="16"/>
        </w:rPr>
        <w:t xml:space="preserve"> fiscal quarter dummy. We also add Fama-French-48 industry × calendar quarter interaction fixed effects to control for time-varying investment opportunities. </w:t>
      </w:r>
      <w:r w:rsidRPr="00EE1141">
        <w:rPr>
          <w:rFonts w:ascii="Times New Roman" w:hAnsi="Times New Roman" w:cs="Times New Roman"/>
          <w:sz w:val="16"/>
        </w:rPr>
        <w:t xml:space="preserve">We obtain </w:t>
      </w:r>
      <w:r w:rsidRPr="009C65AB">
        <w:rPr>
          <w:rFonts w:ascii="Times New Roman" w:hAnsi="Times New Roman" w:cs="Times New Roman"/>
          <w:sz w:val="16"/>
        </w:rPr>
        <w:t>country-level flat or top marginal corporate income tax rate from OECD database</w:t>
      </w:r>
      <w:r>
        <w:rPr>
          <w:rFonts w:ascii="Times New Roman" w:hAnsi="Times New Roman" w:cs="Times New Roman"/>
          <w:sz w:val="16"/>
        </w:rPr>
        <w:t>.</w:t>
      </w:r>
      <w:r w:rsidRPr="00EE1141">
        <w:rPr>
          <w:rFonts w:ascii="Times New Roman" w:hAnsi="Times New Roman" w:cs="Times New Roman"/>
          <w:sz w:val="16"/>
        </w:rPr>
        <w:t xml:space="preserve"> </w:t>
      </w:r>
      <w:r w:rsidRPr="00EE1141">
        <w:rPr>
          <w:rFonts w:ascii="Times New Roman" w:hAnsi="Times New Roman" w:cs="Times New Roman"/>
          <w:sz w:val="16"/>
          <w:szCs w:val="16"/>
        </w:rPr>
        <w:t xml:space="preserve">Robust standard errors are reported in parentheses. *, **, and *** indicate significance at the 10%, 5%, and 1% level, respectively. Standard errors are clustered at the country level. Firm-level controls are winsorized at the 1% tails. Our sample includes </w:t>
      </w:r>
      <w:r>
        <w:rPr>
          <w:rFonts w:ascii="Times New Roman" w:hAnsi="Times New Roman" w:cs="Times New Roman"/>
          <w:sz w:val="16"/>
          <w:szCs w:val="16"/>
        </w:rPr>
        <w:t>41 countries</w:t>
      </w:r>
      <w:r w:rsidRPr="00EE1141">
        <w:rPr>
          <w:rFonts w:ascii="Times New Roman" w:hAnsi="Times New Roman" w:cs="Times New Roman"/>
          <w:sz w:val="16"/>
          <w:szCs w:val="16"/>
        </w:rPr>
        <w:t xml:space="preserve"> and covers the period 2005-2014 in fiscal years. </w:t>
      </w:r>
      <w:r w:rsidRPr="00EE1141">
        <w:rPr>
          <w:rFonts w:ascii="Times New Roman" w:hAnsi="Times New Roman" w:cs="Times New Roman"/>
          <w:sz w:val="16"/>
        </w:rPr>
        <w:t>The details of the</w:t>
      </w:r>
      <w:r w:rsidR="00050F48">
        <w:rPr>
          <w:rFonts w:ascii="Times New Roman" w:hAnsi="Times New Roman" w:cs="Times New Roman"/>
          <w:sz w:val="16"/>
        </w:rPr>
        <w:t xml:space="preserve"> country-level</w:t>
      </w:r>
      <w:r w:rsidRPr="00EE1141">
        <w:rPr>
          <w:rFonts w:ascii="Times New Roman" w:hAnsi="Times New Roman" w:cs="Times New Roman"/>
          <w:sz w:val="16"/>
        </w:rPr>
        <w:t xml:space="preserve"> variables are provided in Appendix A.</w:t>
      </w:r>
    </w:p>
    <w:tbl>
      <w:tblPr>
        <w:tblW w:w="12960" w:type="dxa"/>
        <w:jc w:val="center"/>
        <w:tblLayout w:type="fixed"/>
        <w:tblCellMar>
          <w:left w:w="75" w:type="dxa"/>
          <w:right w:w="75" w:type="dxa"/>
        </w:tblCellMar>
        <w:tblLook w:val="0000" w:firstRow="0" w:lastRow="0" w:firstColumn="0" w:lastColumn="0" w:noHBand="0" w:noVBand="0"/>
      </w:tblPr>
      <w:tblGrid>
        <w:gridCol w:w="1872"/>
        <w:gridCol w:w="1008"/>
        <w:gridCol w:w="1008"/>
        <w:gridCol w:w="1008"/>
        <w:gridCol w:w="1008"/>
        <w:gridCol w:w="1008"/>
        <w:gridCol w:w="1008"/>
        <w:gridCol w:w="1008"/>
        <w:gridCol w:w="1008"/>
        <w:gridCol w:w="1008"/>
        <w:gridCol w:w="1008"/>
        <w:gridCol w:w="1008"/>
      </w:tblGrid>
      <w:tr w:rsidR="00CC153B" w:rsidRPr="00E51DC2" w:rsidTr="00742EC2">
        <w:trPr>
          <w:trHeight w:val="273"/>
          <w:jc w:val="center"/>
        </w:trPr>
        <w:tc>
          <w:tcPr>
            <w:tcW w:w="12960" w:type="dxa"/>
            <w:gridSpan w:val="12"/>
            <w:tcBorders>
              <w:top w:val="double" w:sz="4" w:space="0" w:color="auto"/>
              <w:left w:val="nil"/>
              <w:bottom w:val="nil"/>
              <w:right w:val="nil"/>
            </w:tcBorders>
          </w:tcPr>
          <w:p w:rsidR="00CC153B" w:rsidRPr="00742EC2" w:rsidRDefault="00742EC2" w:rsidP="00337B95">
            <w:pPr>
              <w:widowControl w:val="0"/>
              <w:autoSpaceDE w:val="0"/>
              <w:autoSpaceDN w:val="0"/>
              <w:adjustRightInd w:val="0"/>
              <w:spacing w:after="0" w:line="240" w:lineRule="auto"/>
              <w:jc w:val="center"/>
              <w:rPr>
                <w:rFonts w:ascii="Times New Roman" w:hAnsi="Times New Roman" w:cs="Times New Roman"/>
                <w:sz w:val="18"/>
                <w:szCs w:val="16"/>
              </w:rPr>
            </w:pPr>
            <w:r w:rsidRPr="00742EC2">
              <w:rPr>
                <w:rFonts w:ascii="Times New Roman" w:hAnsi="Times New Roman" w:cs="Times New Roman"/>
                <w:sz w:val="18"/>
                <w:szCs w:val="16"/>
              </w:rPr>
              <w:t>Country Characteristics (COUNTRY)</w:t>
            </w:r>
          </w:p>
        </w:tc>
      </w:tr>
      <w:tr w:rsidR="00CC153B" w:rsidRPr="00E51DC2" w:rsidTr="00337B95">
        <w:trPr>
          <w:jc w:val="center"/>
        </w:trPr>
        <w:tc>
          <w:tcPr>
            <w:tcW w:w="1872" w:type="dxa"/>
            <w:tcBorders>
              <w:top w:val="nil"/>
              <w:left w:val="nil"/>
              <w:bottom w:val="single" w:sz="6" w:space="0" w:color="auto"/>
              <w:right w:val="nil"/>
            </w:tcBorders>
          </w:tcPr>
          <w:p w:rsidR="00CC153B" w:rsidRPr="00E51DC2" w:rsidRDefault="00CC153B" w:rsidP="00337B95">
            <w:pPr>
              <w:widowControl w:val="0"/>
              <w:autoSpaceDE w:val="0"/>
              <w:autoSpaceDN w:val="0"/>
              <w:adjustRightInd w:val="0"/>
              <w:spacing w:after="0" w:line="240" w:lineRule="auto"/>
              <w:rPr>
                <w:rFonts w:ascii="Times New Roman" w:hAnsi="Times New Roman" w:cs="Times New Roman"/>
                <w:sz w:val="16"/>
                <w:szCs w:val="16"/>
              </w:rPr>
            </w:pPr>
            <w:r w:rsidRPr="00E51DC2">
              <w:rPr>
                <w:rFonts w:ascii="Times New Roman" w:hAnsi="Times New Roman" w:cs="Times New Roman"/>
                <w:sz w:val="16"/>
                <w:szCs w:val="16"/>
              </w:rPr>
              <w:t>VARIABLES</w:t>
            </w:r>
          </w:p>
        </w:tc>
        <w:tc>
          <w:tcPr>
            <w:tcW w:w="1008" w:type="dxa"/>
            <w:tcBorders>
              <w:top w:val="nil"/>
              <w:left w:val="nil"/>
              <w:bottom w:val="single" w:sz="6" w:space="0" w:color="auto"/>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E51DC2">
              <w:rPr>
                <w:rFonts w:ascii="Times New Roman" w:hAnsi="Times New Roman" w:cs="Times New Roman"/>
                <w:sz w:val="16"/>
                <w:szCs w:val="16"/>
              </w:rPr>
              <w:t>AD</w:t>
            </w:r>
          </w:p>
        </w:tc>
        <w:tc>
          <w:tcPr>
            <w:tcW w:w="1008" w:type="dxa"/>
            <w:tcBorders>
              <w:top w:val="nil"/>
              <w:left w:val="nil"/>
              <w:bottom w:val="single" w:sz="6" w:space="0" w:color="auto"/>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E51DC2">
              <w:rPr>
                <w:rFonts w:ascii="Times New Roman" w:hAnsi="Times New Roman" w:cs="Times New Roman"/>
                <w:sz w:val="16"/>
                <w:szCs w:val="16"/>
              </w:rPr>
              <w:t>AS</w:t>
            </w:r>
          </w:p>
        </w:tc>
        <w:tc>
          <w:tcPr>
            <w:tcW w:w="1008" w:type="dxa"/>
            <w:tcBorders>
              <w:top w:val="nil"/>
              <w:left w:val="nil"/>
              <w:bottom w:val="single" w:sz="6" w:space="0" w:color="auto"/>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E51DC2">
              <w:rPr>
                <w:rFonts w:ascii="Times New Roman" w:hAnsi="Times New Roman" w:cs="Times New Roman"/>
                <w:sz w:val="16"/>
                <w:szCs w:val="16"/>
              </w:rPr>
              <w:t>DISC</w:t>
            </w:r>
          </w:p>
        </w:tc>
        <w:tc>
          <w:tcPr>
            <w:tcW w:w="1008" w:type="dxa"/>
            <w:tcBorders>
              <w:top w:val="nil"/>
              <w:left w:val="nil"/>
              <w:bottom w:val="single" w:sz="6" w:space="0" w:color="auto"/>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E51DC2">
              <w:rPr>
                <w:rFonts w:ascii="Times New Roman" w:hAnsi="Times New Roman" w:cs="Times New Roman"/>
                <w:sz w:val="16"/>
                <w:szCs w:val="16"/>
              </w:rPr>
              <w:t>ACCT</w:t>
            </w:r>
          </w:p>
        </w:tc>
        <w:tc>
          <w:tcPr>
            <w:tcW w:w="1008" w:type="dxa"/>
            <w:tcBorders>
              <w:top w:val="nil"/>
              <w:left w:val="nil"/>
              <w:bottom w:val="single" w:sz="6" w:space="0" w:color="auto"/>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E51DC2">
              <w:rPr>
                <w:rFonts w:ascii="Times New Roman" w:hAnsi="Times New Roman" w:cs="Times New Roman"/>
                <w:sz w:val="16"/>
                <w:szCs w:val="16"/>
              </w:rPr>
              <w:t>EM</w:t>
            </w:r>
          </w:p>
        </w:tc>
        <w:tc>
          <w:tcPr>
            <w:tcW w:w="1008" w:type="dxa"/>
            <w:tcBorders>
              <w:top w:val="nil"/>
              <w:left w:val="nil"/>
              <w:bottom w:val="single" w:sz="6" w:space="0" w:color="auto"/>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E51DC2">
              <w:rPr>
                <w:rFonts w:ascii="Times New Roman" w:hAnsi="Times New Roman" w:cs="Times New Roman"/>
                <w:sz w:val="16"/>
                <w:szCs w:val="16"/>
              </w:rPr>
              <w:t>UK</w:t>
            </w:r>
          </w:p>
        </w:tc>
        <w:tc>
          <w:tcPr>
            <w:tcW w:w="1008" w:type="dxa"/>
            <w:tcBorders>
              <w:top w:val="nil"/>
              <w:left w:val="nil"/>
              <w:bottom w:val="single" w:sz="6" w:space="0" w:color="auto"/>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E51DC2">
              <w:rPr>
                <w:rFonts w:ascii="Times New Roman" w:hAnsi="Times New Roman" w:cs="Times New Roman"/>
                <w:sz w:val="16"/>
                <w:szCs w:val="16"/>
              </w:rPr>
              <w:t>RULE</w:t>
            </w:r>
          </w:p>
        </w:tc>
        <w:tc>
          <w:tcPr>
            <w:tcW w:w="1008" w:type="dxa"/>
            <w:tcBorders>
              <w:top w:val="nil"/>
              <w:left w:val="nil"/>
              <w:bottom w:val="single" w:sz="6" w:space="0" w:color="auto"/>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E51DC2">
              <w:rPr>
                <w:rFonts w:ascii="Times New Roman" w:hAnsi="Times New Roman" w:cs="Times New Roman"/>
                <w:sz w:val="16"/>
                <w:szCs w:val="16"/>
              </w:rPr>
              <w:t>EQUITY</w:t>
            </w:r>
          </w:p>
        </w:tc>
        <w:tc>
          <w:tcPr>
            <w:tcW w:w="1008" w:type="dxa"/>
            <w:tcBorders>
              <w:top w:val="nil"/>
              <w:left w:val="nil"/>
              <w:bottom w:val="single" w:sz="6" w:space="0" w:color="auto"/>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E51DC2">
              <w:rPr>
                <w:rFonts w:ascii="Times New Roman" w:hAnsi="Times New Roman" w:cs="Times New Roman"/>
                <w:sz w:val="16"/>
                <w:szCs w:val="16"/>
              </w:rPr>
              <w:t>CREDIT</w:t>
            </w:r>
          </w:p>
        </w:tc>
        <w:tc>
          <w:tcPr>
            <w:tcW w:w="1008" w:type="dxa"/>
            <w:tcBorders>
              <w:top w:val="nil"/>
              <w:left w:val="nil"/>
              <w:bottom w:val="single" w:sz="6" w:space="0" w:color="auto"/>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E51DC2">
              <w:rPr>
                <w:rFonts w:ascii="Times New Roman" w:hAnsi="Times New Roman" w:cs="Times New Roman"/>
                <w:sz w:val="16"/>
                <w:szCs w:val="16"/>
              </w:rPr>
              <w:t>FD</w:t>
            </w:r>
          </w:p>
        </w:tc>
        <w:tc>
          <w:tcPr>
            <w:tcW w:w="1008" w:type="dxa"/>
            <w:tcBorders>
              <w:top w:val="nil"/>
              <w:left w:val="nil"/>
              <w:bottom w:val="single" w:sz="6" w:space="0" w:color="auto"/>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r w:rsidRPr="00E51DC2">
              <w:rPr>
                <w:rFonts w:ascii="Times New Roman" w:hAnsi="Times New Roman" w:cs="Times New Roman"/>
                <w:sz w:val="16"/>
                <w:szCs w:val="16"/>
              </w:rPr>
              <w:t>IPO</w:t>
            </w:r>
          </w:p>
        </w:tc>
      </w:tr>
      <w:tr w:rsidR="00CC153B" w:rsidRPr="00E51DC2" w:rsidTr="00337B95">
        <w:trPr>
          <w:jc w:val="center"/>
        </w:trPr>
        <w:tc>
          <w:tcPr>
            <w:tcW w:w="1872"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r>
      <w:tr w:rsidR="009D2900" w:rsidRPr="00E51DC2" w:rsidTr="00337B95">
        <w:trPr>
          <w:jc w:val="center"/>
        </w:trPr>
        <w:tc>
          <w:tcPr>
            <w:tcW w:w="1872" w:type="dxa"/>
            <w:tcBorders>
              <w:top w:val="nil"/>
              <w:left w:val="nil"/>
              <w:bottom w:val="nil"/>
              <w:right w:val="nil"/>
            </w:tcBorders>
          </w:tcPr>
          <w:p w:rsidR="009D2900" w:rsidRPr="00E51DC2" w:rsidRDefault="009D2900" w:rsidP="00337B95">
            <w:pPr>
              <w:widowControl w:val="0"/>
              <w:autoSpaceDE w:val="0"/>
              <w:autoSpaceDN w:val="0"/>
              <w:adjustRightInd w:val="0"/>
              <w:spacing w:after="0" w:line="240" w:lineRule="auto"/>
              <w:rPr>
                <w:rFonts w:ascii="Times New Roman" w:hAnsi="Times New Roman" w:cs="Times New Roman"/>
                <w:sz w:val="16"/>
                <w:szCs w:val="16"/>
              </w:rPr>
            </w:pPr>
            <w:r w:rsidRPr="00E51DC2">
              <w:rPr>
                <w:rFonts w:ascii="Times New Roman" w:hAnsi="Times New Roman" w:cs="Times New Roman"/>
                <w:sz w:val="16"/>
                <w:szCs w:val="16"/>
              </w:rPr>
              <w:t>GDP</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1.031***</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0.197</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0.254</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1.021***</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1.331***</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0.198</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0.617</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-0.0562</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0.126</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-0.0793</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1.037***</w:t>
            </w:r>
          </w:p>
        </w:tc>
      </w:tr>
      <w:tr w:rsidR="009D2900" w:rsidRPr="00E51DC2" w:rsidTr="00337B95">
        <w:trPr>
          <w:jc w:val="center"/>
        </w:trPr>
        <w:tc>
          <w:tcPr>
            <w:tcW w:w="1872" w:type="dxa"/>
            <w:tcBorders>
              <w:top w:val="nil"/>
              <w:left w:val="nil"/>
              <w:bottom w:val="nil"/>
              <w:right w:val="nil"/>
            </w:tcBorders>
          </w:tcPr>
          <w:p w:rsidR="009D2900" w:rsidRPr="00E51DC2" w:rsidRDefault="009D2900" w:rsidP="00337B95">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(0.234)</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(0.630)</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(0.570)</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(0.236)</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(0.347)</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(0.630)</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(0.508)</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(0.629)</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(0.622)</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(0.635)</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(0.234)</w:t>
            </w:r>
          </w:p>
        </w:tc>
      </w:tr>
      <w:tr w:rsidR="009D2900" w:rsidRPr="00E51DC2" w:rsidTr="00337B95">
        <w:trPr>
          <w:jc w:val="center"/>
        </w:trPr>
        <w:tc>
          <w:tcPr>
            <w:tcW w:w="1872" w:type="dxa"/>
            <w:tcBorders>
              <w:top w:val="nil"/>
              <w:left w:val="nil"/>
              <w:bottom w:val="nil"/>
              <w:right w:val="nil"/>
            </w:tcBorders>
          </w:tcPr>
          <w:p w:rsidR="009D2900" w:rsidRPr="00E51DC2" w:rsidRDefault="009D2900" w:rsidP="00337B95">
            <w:pPr>
              <w:widowControl w:val="0"/>
              <w:autoSpaceDE w:val="0"/>
              <w:autoSpaceDN w:val="0"/>
              <w:adjustRightInd w:val="0"/>
              <w:spacing w:after="0" w:line="240" w:lineRule="auto"/>
              <w:rPr>
                <w:rFonts w:ascii="Times New Roman" w:hAnsi="Times New Roman" w:cs="Times New Roman"/>
                <w:sz w:val="16"/>
                <w:szCs w:val="16"/>
              </w:rPr>
            </w:pPr>
            <w:r w:rsidRPr="00E51DC2">
              <w:rPr>
                <w:rFonts w:ascii="Times New Roman" w:hAnsi="Times New Roman" w:cs="Times New Roman"/>
                <w:sz w:val="16"/>
                <w:szCs w:val="16"/>
              </w:rPr>
              <w:t>GDP_GRO</w:t>
            </w:r>
          </w:p>
        </w:tc>
        <w:tc>
          <w:tcPr>
            <w:tcW w:w="1008" w:type="dxa"/>
            <w:tcBorders>
              <w:top w:val="nil"/>
              <w:left w:val="nil"/>
              <w:bottom w:val="nil"/>
              <w:right w:val="nil"/>
            </w:tcBorders>
          </w:tcPr>
          <w:p w:rsidR="009D2900" w:rsidRPr="009D2900" w:rsidRDefault="009D2900" w:rsidP="009D2900">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0.0062</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0.0166</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0.0182*</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0.007</w:t>
            </w:r>
            <w:r w:rsidR="003F7D8D">
              <w:rPr>
                <w:rFonts w:ascii="Times New Roman" w:hAnsi="Times New Roman" w:cs="Times New Roman"/>
                <w:sz w:val="16"/>
                <w:szCs w:val="16"/>
              </w:rPr>
              <w:t>1</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0.0036</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0.0166</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0.0137*</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0.0183*</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0.0151</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0.0181*</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0.0062</w:t>
            </w:r>
          </w:p>
        </w:tc>
      </w:tr>
      <w:tr w:rsidR="009D2900" w:rsidRPr="00E51DC2" w:rsidTr="00337B95">
        <w:trPr>
          <w:jc w:val="center"/>
        </w:trPr>
        <w:tc>
          <w:tcPr>
            <w:tcW w:w="1872" w:type="dxa"/>
            <w:tcBorders>
              <w:top w:val="nil"/>
              <w:left w:val="nil"/>
              <w:bottom w:val="nil"/>
              <w:right w:val="nil"/>
            </w:tcBorders>
          </w:tcPr>
          <w:p w:rsidR="009D2900" w:rsidRPr="00E51DC2" w:rsidRDefault="009D2900" w:rsidP="00337B95">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(0.0066)</w:t>
            </w:r>
          </w:p>
        </w:tc>
        <w:tc>
          <w:tcPr>
            <w:tcW w:w="1008" w:type="dxa"/>
            <w:tcBorders>
              <w:top w:val="nil"/>
              <w:left w:val="nil"/>
              <w:bottom w:val="nil"/>
              <w:right w:val="nil"/>
            </w:tcBorders>
          </w:tcPr>
          <w:p w:rsidR="009D2900" w:rsidRPr="009D2900" w:rsidRDefault="003F7D8D" w:rsidP="003F7D8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(0.0099</w:t>
            </w:r>
            <w:r w:rsidR="009D2900" w:rsidRPr="009D2900">
              <w:rPr>
                <w:rFonts w:ascii="Times New Roman" w:hAnsi="Times New Roman" w:cs="Times New Roman"/>
                <w:sz w:val="16"/>
                <w:szCs w:val="16"/>
              </w:rPr>
              <w:t>)</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(0.0103)</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(0.0070)</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(0.0060)</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(0.0099)</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(0.0076)</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(0.0095)</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(0.0091)</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(0.0090)</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(0.0066)</w:t>
            </w:r>
          </w:p>
        </w:tc>
      </w:tr>
      <w:tr w:rsidR="009D2900" w:rsidRPr="00E51DC2" w:rsidTr="00337B95">
        <w:trPr>
          <w:jc w:val="center"/>
        </w:trPr>
        <w:tc>
          <w:tcPr>
            <w:tcW w:w="1872" w:type="dxa"/>
            <w:tcBorders>
              <w:top w:val="nil"/>
              <w:left w:val="nil"/>
              <w:bottom w:val="nil"/>
              <w:right w:val="nil"/>
            </w:tcBorders>
          </w:tcPr>
          <w:p w:rsidR="009D2900" w:rsidRPr="00E51DC2" w:rsidRDefault="009D2900" w:rsidP="00337B95">
            <w:pPr>
              <w:widowControl w:val="0"/>
              <w:autoSpaceDE w:val="0"/>
              <w:autoSpaceDN w:val="0"/>
              <w:adjustRightInd w:val="0"/>
              <w:spacing w:after="0" w:line="240" w:lineRule="auto"/>
              <w:rPr>
                <w:rFonts w:ascii="Times New Roman" w:hAnsi="Times New Roman" w:cs="Times New Roman"/>
                <w:sz w:val="16"/>
                <w:szCs w:val="16"/>
              </w:rPr>
            </w:pPr>
            <w:r w:rsidRPr="00E51DC2">
              <w:rPr>
                <w:rFonts w:ascii="Times New Roman" w:hAnsi="Times New Roman" w:cs="Times New Roman"/>
                <w:sz w:val="16"/>
                <w:szCs w:val="16"/>
              </w:rPr>
              <w:t>TAX_C</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0.0105**</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0.009</w:t>
            </w:r>
            <w:r w:rsidR="003F7D8D">
              <w:rPr>
                <w:rFonts w:ascii="Times New Roman" w:hAnsi="Times New Roman" w:cs="Times New Roman"/>
                <w:sz w:val="16"/>
                <w:szCs w:val="16"/>
              </w:rPr>
              <w:t>1</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0.009</w:t>
            </w:r>
            <w:r w:rsidR="003F7D8D">
              <w:rPr>
                <w:rFonts w:ascii="Times New Roman" w:hAnsi="Times New Roman" w:cs="Times New Roman"/>
                <w:sz w:val="16"/>
                <w:szCs w:val="16"/>
              </w:rPr>
              <w:t>9</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0.0109**</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0.0121**</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0.0091*</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0.0122***</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0.003</w:t>
            </w:r>
            <w:r w:rsidR="003F7D8D">
              <w:rPr>
                <w:rFonts w:ascii="Times New Roman" w:hAnsi="Times New Roman" w:cs="Times New Roman"/>
                <w:sz w:val="16"/>
                <w:szCs w:val="16"/>
              </w:rPr>
              <w:t>1</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0.0072**</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0.003</w:t>
            </w:r>
            <w:r w:rsidR="003F7D8D">
              <w:rPr>
                <w:rFonts w:ascii="Times New Roman" w:hAnsi="Times New Roman" w:cs="Times New Roman"/>
                <w:sz w:val="16"/>
                <w:szCs w:val="16"/>
              </w:rPr>
              <w:t>4</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0.0115**</w:t>
            </w:r>
          </w:p>
        </w:tc>
      </w:tr>
      <w:tr w:rsidR="009D2900" w:rsidRPr="00E51DC2" w:rsidTr="00337B95">
        <w:trPr>
          <w:jc w:val="center"/>
        </w:trPr>
        <w:tc>
          <w:tcPr>
            <w:tcW w:w="1872" w:type="dxa"/>
            <w:tcBorders>
              <w:top w:val="nil"/>
              <w:left w:val="nil"/>
              <w:bottom w:val="nil"/>
              <w:right w:val="nil"/>
            </w:tcBorders>
          </w:tcPr>
          <w:p w:rsidR="009D2900" w:rsidRPr="00E51DC2" w:rsidRDefault="009D2900" w:rsidP="00337B95">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(0.0042)</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(0.0054)</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(0.0063)</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(0.0045)</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(0.0046)</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(0.0052)</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(0.0036)</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(0.0036)</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(0.0033)</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(0.0029)</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(0.0044)</w:t>
            </w:r>
          </w:p>
        </w:tc>
      </w:tr>
      <w:tr w:rsidR="009D2900" w:rsidRPr="00E51DC2" w:rsidTr="00337B95">
        <w:trPr>
          <w:jc w:val="center"/>
        </w:trPr>
        <w:tc>
          <w:tcPr>
            <w:tcW w:w="1872" w:type="dxa"/>
            <w:tcBorders>
              <w:top w:val="nil"/>
              <w:left w:val="nil"/>
              <w:bottom w:val="nil"/>
              <w:right w:val="nil"/>
            </w:tcBorders>
          </w:tcPr>
          <w:p w:rsidR="009D2900" w:rsidRPr="00E51DC2" w:rsidRDefault="009D2900" w:rsidP="00337B95">
            <w:pPr>
              <w:widowControl w:val="0"/>
              <w:autoSpaceDE w:val="0"/>
              <w:autoSpaceDN w:val="0"/>
              <w:adjustRightInd w:val="0"/>
              <w:spacing w:after="0" w:line="240" w:lineRule="auto"/>
              <w:rPr>
                <w:rFonts w:ascii="Times New Roman" w:hAnsi="Times New Roman" w:cs="Times New Roman"/>
                <w:sz w:val="16"/>
                <w:szCs w:val="16"/>
              </w:rPr>
            </w:pPr>
            <w:r w:rsidRPr="00E51DC2">
              <w:rPr>
                <w:rFonts w:ascii="Times New Roman" w:hAnsi="Times New Roman" w:cs="Times New Roman"/>
                <w:sz w:val="16"/>
                <w:szCs w:val="16"/>
              </w:rPr>
              <w:t>TAX_C×Q4 Dummy</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-0.0022</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-0.0039</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-0.005</w:t>
            </w:r>
            <w:r w:rsidR="003F7D8D">
              <w:rPr>
                <w:rFonts w:ascii="Times New Roman" w:hAnsi="Times New Roman" w:cs="Times New Roman"/>
                <w:sz w:val="16"/>
                <w:szCs w:val="16"/>
              </w:rPr>
              <w:t>8</w:t>
            </w:r>
            <w:r w:rsidRPr="009D2900">
              <w:rPr>
                <w:rFonts w:ascii="Times New Roman" w:hAnsi="Times New Roman" w:cs="Times New Roman"/>
                <w:sz w:val="16"/>
                <w:szCs w:val="16"/>
              </w:rPr>
              <w:t>**</w:t>
            </w:r>
          </w:p>
        </w:tc>
        <w:tc>
          <w:tcPr>
            <w:tcW w:w="1008" w:type="dxa"/>
            <w:tcBorders>
              <w:top w:val="nil"/>
              <w:left w:val="nil"/>
              <w:bottom w:val="nil"/>
              <w:right w:val="nil"/>
            </w:tcBorders>
          </w:tcPr>
          <w:p w:rsidR="009D2900" w:rsidRPr="009D2900" w:rsidRDefault="003F7D8D" w:rsidP="003F7D8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-0.0039</w:t>
            </w:r>
            <w:r w:rsidR="009D2900" w:rsidRPr="009D2900">
              <w:rPr>
                <w:rFonts w:ascii="Times New Roman" w:hAnsi="Times New Roman" w:cs="Times New Roman"/>
                <w:sz w:val="16"/>
                <w:szCs w:val="16"/>
              </w:rPr>
              <w:t>*</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-0.0013</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-0.003</w:t>
            </w:r>
            <w:r w:rsidR="003F7D8D">
              <w:rPr>
                <w:rFonts w:ascii="Times New Roman" w:hAnsi="Times New Roman" w:cs="Times New Roman"/>
                <w:sz w:val="16"/>
                <w:szCs w:val="16"/>
              </w:rPr>
              <w:t>2</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-0.0064**</w:t>
            </w:r>
          </w:p>
        </w:tc>
        <w:tc>
          <w:tcPr>
            <w:tcW w:w="1008" w:type="dxa"/>
            <w:tcBorders>
              <w:top w:val="nil"/>
              <w:left w:val="nil"/>
              <w:bottom w:val="nil"/>
              <w:right w:val="nil"/>
            </w:tcBorders>
          </w:tcPr>
          <w:p w:rsidR="009D2900" w:rsidRPr="009D2900" w:rsidRDefault="009D2900" w:rsidP="009D2900">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-0.0059***</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-0.0038</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-0.0045</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-0.0063***</w:t>
            </w:r>
          </w:p>
        </w:tc>
      </w:tr>
      <w:tr w:rsidR="009D2900" w:rsidRPr="00E51DC2" w:rsidTr="00337B95">
        <w:trPr>
          <w:trHeight w:val="306"/>
          <w:jc w:val="center"/>
        </w:trPr>
        <w:tc>
          <w:tcPr>
            <w:tcW w:w="1872" w:type="dxa"/>
            <w:tcBorders>
              <w:top w:val="nil"/>
              <w:left w:val="nil"/>
              <w:bottom w:val="nil"/>
              <w:right w:val="nil"/>
            </w:tcBorders>
          </w:tcPr>
          <w:p w:rsidR="009D2900" w:rsidRPr="00E51DC2" w:rsidRDefault="009D2900" w:rsidP="00337B95">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(0.0032)</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(0.0027)</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(0.0024)</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(0.0021)</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(0.0036)</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(0.0040)</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(0.0024)</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(0.001</w:t>
            </w:r>
            <w:r w:rsidR="003F7D8D">
              <w:rPr>
                <w:rFonts w:ascii="Times New Roman" w:hAnsi="Times New Roman" w:cs="Times New Roman"/>
                <w:sz w:val="16"/>
                <w:szCs w:val="16"/>
              </w:rPr>
              <w:t>8</w:t>
            </w:r>
            <w:r w:rsidRPr="009D2900">
              <w:rPr>
                <w:rFonts w:ascii="Times New Roman" w:hAnsi="Times New Roman" w:cs="Times New Roman"/>
                <w:sz w:val="16"/>
                <w:szCs w:val="16"/>
              </w:rPr>
              <w:t>)</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(0.003</w:t>
            </w:r>
            <w:r w:rsidR="003F7D8D">
              <w:rPr>
                <w:rFonts w:ascii="Times New Roman" w:hAnsi="Times New Roman" w:cs="Times New Roman"/>
                <w:sz w:val="16"/>
                <w:szCs w:val="16"/>
              </w:rPr>
              <w:t>7</w:t>
            </w:r>
            <w:r w:rsidRPr="009D2900">
              <w:rPr>
                <w:rFonts w:ascii="Times New Roman" w:hAnsi="Times New Roman" w:cs="Times New Roman"/>
                <w:sz w:val="16"/>
                <w:szCs w:val="16"/>
              </w:rPr>
              <w:t>)</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(0.0028)</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(0.0020)</w:t>
            </w:r>
          </w:p>
        </w:tc>
      </w:tr>
      <w:tr w:rsidR="009D2900" w:rsidRPr="00E51DC2" w:rsidTr="00337B95">
        <w:trPr>
          <w:jc w:val="center"/>
        </w:trPr>
        <w:tc>
          <w:tcPr>
            <w:tcW w:w="1872" w:type="dxa"/>
            <w:tcBorders>
              <w:top w:val="nil"/>
              <w:left w:val="nil"/>
              <w:bottom w:val="nil"/>
              <w:right w:val="nil"/>
            </w:tcBorders>
          </w:tcPr>
          <w:p w:rsidR="009D2900" w:rsidRPr="00E51DC2" w:rsidRDefault="009D2900" w:rsidP="00337B95">
            <w:pPr>
              <w:widowControl w:val="0"/>
              <w:autoSpaceDE w:val="0"/>
              <w:autoSpaceDN w:val="0"/>
              <w:adjustRightInd w:val="0"/>
              <w:spacing w:after="0" w:line="240" w:lineRule="auto"/>
              <w:rPr>
                <w:rFonts w:ascii="Times New Roman" w:hAnsi="Times New Roman" w:cs="Times New Roman"/>
                <w:sz w:val="16"/>
                <w:szCs w:val="16"/>
              </w:rPr>
            </w:pPr>
            <w:r w:rsidRPr="00E51DC2">
              <w:rPr>
                <w:rFonts w:ascii="Times New Roman" w:hAnsi="Times New Roman" w:cs="Times New Roman"/>
                <w:sz w:val="16"/>
                <w:szCs w:val="16"/>
              </w:rPr>
              <w:t>COUNTRY</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-0.0119</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-0.479***</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0.0022***</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0.001</w:t>
            </w:r>
            <w:r w:rsidR="003F7D8D">
              <w:rPr>
                <w:rFonts w:ascii="Times New Roman" w:hAnsi="Times New Roman" w:cs="Times New Roman"/>
                <w:sz w:val="16"/>
                <w:szCs w:val="16"/>
              </w:rPr>
              <w:t>3</w:t>
            </w:r>
            <w:r w:rsidRPr="009D2900">
              <w:rPr>
                <w:rFonts w:ascii="Times New Roman" w:hAnsi="Times New Roman" w:cs="Times New Roman"/>
                <w:sz w:val="16"/>
                <w:szCs w:val="16"/>
              </w:rPr>
              <w:t>**</w:t>
            </w:r>
          </w:p>
        </w:tc>
        <w:tc>
          <w:tcPr>
            <w:tcW w:w="1008" w:type="dxa"/>
            <w:tcBorders>
              <w:top w:val="nil"/>
              <w:left w:val="nil"/>
              <w:bottom w:val="nil"/>
              <w:right w:val="nil"/>
            </w:tcBorders>
          </w:tcPr>
          <w:p w:rsidR="009D2900" w:rsidRPr="009D2900" w:rsidRDefault="009D2900" w:rsidP="009D2900">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0.001</w:t>
            </w:r>
            <w:r>
              <w:rPr>
                <w:rFonts w:ascii="Times New Roman" w:hAnsi="Times New Roman" w:cs="Times New Roman"/>
                <w:sz w:val="16"/>
                <w:szCs w:val="16"/>
              </w:rPr>
              <w:t>3</w:t>
            </w:r>
            <w:r w:rsidRPr="009D2900">
              <w:rPr>
                <w:rFonts w:ascii="Times New Roman" w:hAnsi="Times New Roman" w:cs="Times New Roman"/>
                <w:sz w:val="16"/>
                <w:szCs w:val="16"/>
              </w:rPr>
              <w:t>**</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w:t>
            </w:r>
          </w:p>
        </w:tc>
      </w:tr>
      <w:tr w:rsidR="009D2900" w:rsidRPr="00E51DC2" w:rsidTr="00337B95">
        <w:trPr>
          <w:jc w:val="center"/>
        </w:trPr>
        <w:tc>
          <w:tcPr>
            <w:tcW w:w="1872" w:type="dxa"/>
            <w:tcBorders>
              <w:top w:val="nil"/>
              <w:left w:val="nil"/>
              <w:bottom w:val="nil"/>
              <w:right w:val="nil"/>
            </w:tcBorders>
          </w:tcPr>
          <w:p w:rsidR="009D2900" w:rsidRPr="00E51DC2" w:rsidRDefault="009D2900" w:rsidP="00337B95">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(0.0208)</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(0.169)</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(0.0007)</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(0.0005)</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(0.0005)</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p>
        </w:tc>
      </w:tr>
      <w:tr w:rsidR="009D2900" w:rsidRPr="00E51DC2" w:rsidTr="003F7D8D">
        <w:trPr>
          <w:jc w:val="center"/>
        </w:trPr>
        <w:tc>
          <w:tcPr>
            <w:tcW w:w="1872" w:type="dxa"/>
            <w:tcBorders>
              <w:top w:val="nil"/>
              <w:left w:val="nil"/>
              <w:bottom w:val="nil"/>
              <w:right w:val="nil"/>
            </w:tcBorders>
          </w:tcPr>
          <w:p w:rsidR="009D2900" w:rsidRPr="00E51DC2" w:rsidRDefault="009D2900" w:rsidP="00337B95">
            <w:pPr>
              <w:widowControl w:val="0"/>
              <w:autoSpaceDE w:val="0"/>
              <w:autoSpaceDN w:val="0"/>
              <w:adjustRightInd w:val="0"/>
              <w:spacing w:after="0" w:line="240" w:lineRule="auto"/>
              <w:rPr>
                <w:rFonts w:ascii="Times New Roman" w:hAnsi="Times New Roman" w:cs="Times New Roman"/>
                <w:sz w:val="16"/>
                <w:szCs w:val="16"/>
              </w:rPr>
            </w:pPr>
            <w:r w:rsidRPr="00E51DC2">
              <w:rPr>
                <w:rFonts w:ascii="Times New Roman" w:hAnsi="Times New Roman" w:cs="Times New Roman"/>
                <w:sz w:val="16"/>
                <w:szCs w:val="16"/>
              </w:rPr>
              <w:t>COUNTRY ×Q4 Dummy</w:t>
            </w:r>
          </w:p>
        </w:tc>
        <w:tc>
          <w:tcPr>
            <w:tcW w:w="1008" w:type="dxa"/>
            <w:tcBorders>
              <w:top w:val="nil"/>
              <w:left w:val="nil"/>
              <w:bottom w:val="nil"/>
              <w:right w:val="nil"/>
            </w:tcBorders>
          </w:tcPr>
          <w:p w:rsidR="009D2900" w:rsidRPr="009D2900" w:rsidRDefault="009D2900" w:rsidP="009D2900">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w:t>
            </w:r>
            <w:r>
              <w:rPr>
                <w:rFonts w:ascii="Times New Roman" w:hAnsi="Times New Roman" w:cs="Times New Roman"/>
                <w:sz w:val="16"/>
                <w:szCs w:val="16"/>
              </w:rPr>
              <w:t>5</w:t>
            </w:r>
            <w:r w:rsidRPr="009D2900">
              <w:rPr>
                <w:rFonts w:ascii="Times New Roman" w:hAnsi="Times New Roman" w:cs="Times New Roman"/>
                <w:sz w:val="16"/>
                <w:szCs w:val="16"/>
              </w:rPr>
              <w:t>19</w:t>
            </w:r>
            <w:r>
              <w:rPr>
                <w:rFonts w:ascii="Times New Roman" w:hAnsi="Times New Roman" w:cs="Times New Roman"/>
                <w:sz w:val="16"/>
                <w:szCs w:val="16"/>
              </w:rPr>
              <w:t>**</w:t>
            </w:r>
            <w:r w:rsidRPr="009D2900">
              <w:rPr>
                <w:rFonts w:ascii="Times New Roman" w:hAnsi="Times New Roman" w:cs="Times New Roman"/>
                <w:sz w:val="16"/>
                <w:szCs w:val="16"/>
              </w:rPr>
              <w:t>*</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-0.340***</w:t>
            </w:r>
          </w:p>
        </w:tc>
        <w:tc>
          <w:tcPr>
            <w:tcW w:w="1008" w:type="dxa"/>
            <w:tcBorders>
              <w:top w:val="nil"/>
              <w:left w:val="nil"/>
              <w:bottom w:val="nil"/>
              <w:right w:val="nil"/>
            </w:tcBorders>
          </w:tcPr>
          <w:p w:rsidR="009D2900" w:rsidRPr="009D2900" w:rsidRDefault="009D2900" w:rsidP="009D2900">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w:t>
            </w:r>
            <w:r>
              <w:rPr>
                <w:rFonts w:ascii="Times New Roman" w:hAnsi="Times New Roman" w:cs="Times New Roman"/>
                <w:sz w:val="16"/>
                <w:szCs w:val="16"/>
              </w:rPr>
              <w:t>23</w:t>
            </w:r>
            <w:r w:rsidRPr="009D2900">
              <w:rPr>
                <w:rFonts w:ascii="Times New Roman" w:hAnsi="Times New Roman" w:cs="Times New Roman"/>
                <w:sz w:val="16"/>
                <w:szCs w:val="16"/>
              </w:rPr>
              <w:t>4</w:t>
            </w:r>
            <w:r>
              <w:rPr>
                <w:rFonts w:ascii="Times New Roman" w:hAnsi="Times New Roman" w:cs="Times New Roman"/>
                <w:sz w:val="16"/>
                <w:szCs w:val="16"/>
              </w:rPr>
              <w:t>**</w:t>
            </w:r>
          </w:p>
        </w:tc>
        <w:tc>
          <w:tcPr>
            <w:tcW w:w="1008" w:type="dxa"/>
            <w:tcBorders>
              <w:top w:val="nil"/>
              <w:left w:val="nil"/>
              <w:bottom w:val="nil"/>
              <w:right w:val="nil"/>
            </w:tcBorders>
          </w:tcPr>
          <w:p w:rsidR="009D2900" w:rsidRPr="009D2900" w:rsidRDefault="009D2900" w:rsidP="009D2900">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-0.0098***</w:t>
            </w:r>
          </w:p>
        </w:tc>
        <w:tc>
          <w:tcPr>
            <w:tcW w:w="1008" w:type="dxa"/>
            <w:tcBorders>
              <w:top w:val="nil"/>
              <w:left w:val="nil"/>
              <w:bottom w:val="nil"/>
              <w:right w:val="nil"/>
            </w:tcBorders>
          </w:tcPr>
          <w:p w:rsidR="009D2900" w:rsidRPr="009D2900" w:rsidRDefault="009D2900" w:rsidP="009D2900">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0.009</w:t>
            </w:r>
            <w:r w:rsidRPr="009D2900">
              <w:rPr>
                <w:rFonts w:ascii="Times New Roman" w:hAnsi="Times New Roman" w:cs="Times New Roman"/>
                <w:sz w:val="16"/>
                <w:szCs w:val="16"/>
              </w:rPr>
              <w:t>0</w:t>
            </w:r>
            <w:r>
              <w:rPr>
                <w:rFonts w:ascii="Times New Roman" w:hAnsi="Times New Roman" w:cs="Times New Roman"/>
                <w:sz w:val="16"/>
                <w:szCs w:val="16"/>
              </w:rPr>
              <w:t>***</w:t>
            </w:r>
          </w:p>
        </w:tc>
        <w:tc>
          <w:tcPr>
            <w:tcW w:w="1008" w:type="dxa"/>
            <w:tcBorders>
              <w:top w:val="nil"/>
              <w:left w:val="nil"/>
              <w:bottom w:val="nil"/>
              <w:right w:val="nil"/>
            </w:tcBorders>
          </w:tcPr>
          <w:p w:rsidR="009D2900" w:rsidRPr="009D2900" w:rsidRDefault="009D2900" w:rsidP="009D2900">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-0.1</w:t>
            </w:r>
            <w:r>
              <w:rPr>
                <w:rFonts w:ascii="Times New Roman" w:hAnsi="Times New Roman" w:cs="Times New Roman"/>
                <w:sz w:val="16"/>
                <w:szCs w:val="16"/>
              </w:rPr>
              <w:t>430**</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-0.144***</w:t>
            </w:r>
          </w:p>
        </w:tc>
        <w:tc>
          <w:tcPr>
            <w:tcW w:w="1008" w:type="dxa"/>
            <w:tcBorders>
              <w:top w:val="nil"/>
              <w:left w:val="nil"/>
              <w:bottom w:val="nil"/>
              <w:right w:val="nil"/>
            </w:tcBorders>
          </w:tcPr>
          <w:p w:rsidR="009D2900" w:rsidRPr="009D2900" w:rsidRDefault="009D2900" w:rsidP="009D2900">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-0.0010**</w:t>
            </w:r>
          </w:p>
        </w:tc>
        <w:tc>
          <w:tcPr>
            <w:tcW w:w="1008" w:type="dxa"/>
            <w:tcBorders>
              <w:top w:val="nil"/>
              <w:left w:val="nil"/>
              <w:bottom w:val="nil"/>
              <w:right w:val="nil"/>
            </w:tcBorders>
          </w:tcPr>
          <w:p w:rsidR="009D2900" w:rsidRPr="009D2900" w:rsidRDefault="009D2900" w:rsidP="009D2900">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-0.0007</w:t>
            </w:r>
          </w:p>
        </w:tc>
        <w:tc>
          <w:tcPr>
            <w:tcW w:w="1008" w:type="dxa"/>
            <w:tcBorders>
              <w:top w:val="nil"/>
              <w:left w:val="nil"/>
              <w:bottom w:val="nil"/>
              <w:right w:val="nil"/>
            </w:tcBorders>
          </w:tcPr>
          <w:p w:rsidR="009D2900" w:rsidRPr="009D2900" w:rsidRDefault="009D2900" w:rsidP="009D2900">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-0.0005</w:t>
            </w:r>
            <w:r>
              <w:rPr>
                <w:rFonts w:ascii="Times New Roman" w:hAnsi="Times New Roman" w:cs="Times New Roman"/>
                <w:sz w:val="16"/>
                <w:szCs w:val="16"/>
              </w:rPr>
              <w:t>*</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-0.0147**</w:t>
            </w:r>
          </w:p>
        </w:tc>
      </w:tr>
      <w:tr w:rsidR="009D2900" w:rsidRPr="00E51DC2" w:rsidTr="00337B95">
        <w:trPr>
          <w:jc w:val="center"/>
        </w:trPr>
        <w:tc>
          <w:tcPr>
            <w:tcW w:w="1872" w:type="dxa"/>
            <w:tcBorders>
              <w:top w:val="nil"/>
              <w:left w:val="nil"/>
              <w:bottom w:val="nil"/>
              <w:right w:val="nil"/>
            </w:tcBorders>
          </w:tcPr>
          <w:p w:rsidR="009D2900" w:rsidRPr="00E51DC2" w:rsidRDefault="009D2900" w:rsidP="00337B95">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(0.0171)</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(0.107)</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(0.0126)</w:t>
            </w:r>
          </w:p>
        </w:tc>
        <w:tc>
          <w:tcPr>
            <w:tcW w:w="1008" w:type="dxa"/>
            <w:tcBorders>
              <w:top w:val="nil"/>
              <w:left w:val="nil"/>
              <w:bottom w:val="nil"/>
              <w:right w:val="nil"/>
            </w:tcBorders>
          </w:tcPr>
          <w:p w:rsidR="009D2900" w:rsidRPr="009D2900" w:rsidRDefault="009D2900" w:rsidP="009D2900">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(0.0031)</w:t>
            </w:r>
          </w:p>
        </w:tc>
        <w:tc>
          <w:tcPr>
            <w:tcW w:w="1008" w:type="dxa"/>
            <w:tcBorders>
              <w:top w:val="nil"/>
              <w:left w:val="nil"/>
              <w:bottom w:val="nil"/>
              <w:right w:val="nil"/>
            </w:tcBorders>
          </w:tcPr>
          <w:p w:rsidR="009D2900" w:rsidRPr="009D2900" w:rsidRDefault="009D2900" w:rsidP="009D2900">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(0.0036)</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(0.0701)</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(0.0388)</w:t>
            </w:r>
          </w:p>
        </w:tc>
        <w:tc>
          <w:tcPr>
            <w:tcW w:w="1008" w:type="dxa"/>
            <w:tcBorders>
              <w:top w:val="nil"/>
              <w:left w:val="nil"/>
              <w:bottom w:val="nil"/>
              <w:right w:val="nil"/>
            </w:tcBorders>
          </w:tcPr>
          <w:p w:rsidR="009D2900" w:rsidRPr="009D2900" w:rsidRDefault="009D2900" w:rsidP="009D2900">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(0.0004)</w:t>
            </w:r>
          </w:p>
        </w:tc>
        <w:tc>
          <w:tcPr>
            <w:tcW w:w="1008" w:type="dxa"/>
            <w:tcBorders>
              <w:top w:val="nil"/>
              <w:left w:val="nil"/>
              <w:bottom w:val="nil"/>
              <w:right w:val="nil"/>
            </w:tcBorders>
          </w:tcPr>
          <w:p w:rsidR="009D2900" w:rsidRPr="009D2900" w:rsidRDefault="009D2900" w:rsidP="009D2900">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(0.0006)</w:t>
            </w:r>
          </w:p>
        </w:tc>
        <w:tc>
          <w:tcPr>
            <w:tcW w:w="1008" w:type="dxa"/>
            <w:tcBorders>
              <w:top w:val="nil"/>
              <w:left w:val="nil"/>
              <w:bottom w:val="nil"/>
              <w:right w:val="nil"/>
            </w:tcBorders>
          </w:tcPr>
          <w:p w:rsidR="009D2900" w:rsidRPr="009D2900" w:rsidRDefault="009D2900" w:rsidP="009D2900">
            <w:pPr>
              <w:widowControl w:val="0"/>
              <w:autoSpaceDE w:val="0"/>
              <w:autoSpaceDN w:val="0"/>
              <w:adjustRightInd w:val="0"/>
              <w:spacing w:after="0" w:line="240" w:lineRule="auto"/>
              <w:jc w:val="center"/>
              <w:rPr>
                <w:rFonts w:ascii="Times New Roman" w:hAnsi="Times New Roman" w:cs="Times New Roman"/>
                <w:sz w:val="16"/>
                <w:szCs w:val="16"/>
              </w:rPr>
            </w:pPr>
            <w:r w:rsidRPr="009D2900">
              <w:rPr>
                <w:rFonts w:ascii="Times New Roman" w:hAnsi="Times New Roman" w:cs="Times New Roman"/>
                <w:sz w:val="16"/>
                <w:szCs w:val="16"/>
              </w:rPr>
              <w:t>(0.0003)</w:t>
            </w:r>
          </w:p>
        </w:tc>
        <w:tc>
          <w:tcPr>
            <w:tcW w:w="1008" w:type="dxa"/>
            <w:tcBorders>
              <w:top w:val="nil"/>
              <w:left w:val="nil"/>
              <w:bottom w:val="nil"/>
              <w:right w:val="nil"/>
            </w:tcBorders>
          </w:tcPr>
          <w:p w:rsidR="009D2900" w:rsidRPr="009D2900"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(0.0067</w:t>
            </w:r>
            <w:r w:rsidRPr="009D2900">
              <w:rPr>
                <w:rFonts w:ascii="Times New Roman" w:hAnsi="Times New Roman" w:cs="Times New Roman"/>
                <w:sz w:val="16"/>
                <w:szCs w:val="16"/>
              </w:rPr>
              <w:t>)</w:t>
            </w:r>
          </w:p>
        </w:tc>
      </w:tr>
      <w:tr w:rsidR="00CC153B" w:rsidRPr="00E51DC2" w:rsidTr="00337B95">
        <w:trPr>
          <w:jc w:val="center"/>
        </w:trPr>
        <w:tc>
          <w:tcPr>
            <w:tcW w:w="1872"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c>
          <w:tcPr>
            <w:tcW w:w="1008" w:type="dxa"/>
            <w:tcBorders>
              <w:top w:val="nil"/>
              <w:left w:val="nil"/>
              <w:bottom w:val="nil"/>
              <w:right w:val="nil"/>
            </w:tcBorders>
          </w:tcPr>
          <w:p w:rsidR="00CC153B" w:rsidRPr="00E51DC2" w:rsidRDefault="00CC153B" w:rsidP="00337B95">
            <w:pPr>
              <w:widowControl w:val="0"/>
              <w:autoSpaceDE w:val="0"/>
              <w:autoSpaceDN w:val="0"/>
              <w:adjustRightInd w:val="0"/>
              <w:spacing w:after="0" w:line="240" w:lineRule="auto"/>
              <w:jc w:val="center"/>
              <w:rPr>
                <w:rFonts w:ascii="Times New Roman" w:hAnsi="Times New Roman" w:cs="Times New Roman"/>
                <w:sz w:val="16"/>
                <w:szCs w:val="16"/>
              </w:rPr>
            </w:pPr>
          </w:p>
        </w:tc>
      </w:tr>
      <w:tr w:rsidR="009D2900" w:rsidRPr="00E51DC2" w:rsidTr="00337B95">
        <w:trPr>
          <w:jc w:val="center"/>
        </w:trPr>
        <w:tc>
          <w:tcPr>
            <w:tcW w:w="1872" w:type="dxa"/>
            <w:tcBorders>
              <w:top w:val="nil"/>
              <w:left w:val="nil"/>
              <w:bottom w:val="nil"/>
              <w:right w:val="nil"/>
            </w:tcBorders>
          </w:tcPr>
          <w:p w:rsidR="009D2900" w:rsidRPr="00E51DC2" w:rsidRDefault="009D2900" w:rsidP="00337B95">
            <w:pPr>
              <w:widowControl w:val="0"/>
              <w:autoSpaceDE w:val="0"/>
              <w:autoSpaceDN w:val="0"/>
              <w:adjustRightInd w:val="0"/>
              <w:spacing w:after="0" w:line="240" w:lineRule="auto"/>
              <w:rPr>
                <w:rFonts w:ascii="Times New Roman" w:hAnsi="Times New Roman" w:cs="Times New Roman"/>
                <w:sz w:val="16"/>
                <w:szCs w:val="16"/>
              </w:rPr>
            </w:pPr>
            <w:r w:rsidRPr="00E51DC2">
              <w:rPr>
                <w:rFonts w:ascii="Times New Roman" w:hAnsi="Times New Roman" w:cs="Times New Roman"/>
                <w:sz w:val="16"/>
                <w:szCs w:val="16"/>
              </w:rPr>
              <w:t>Observations</w:t>
            </w:r>
          </w:p>
        </w:tc>
        <w:tc>
          <w:tcPr>
            <w:tcW w:w="1008" w:type="dxa"/>
            <w:tcBorders>
              <w:top w:val="nil"/>
              <w:left w:val="nil"/>
              <w:bottom w:val="nil"/>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166,347</w:t>
            </w:r>
          </w:p>
        </w:tc>
        <w:tc>
          <w:tcPr>
            <w:tcW w:w="1008" w:type="dxa"/>
            <w:tcBorders>
              <w:top w:val="nil"/>
              <w:left w:val="nil"/>
              <w:bottom w:val="nil"/>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170,485</w:t>
            </w:r>
          </w:p>
        </w:tc>
        <w:tc>
          <w:tcPr>
            <w:tcW w:w="1008" w:type="dxa"/>
            <w:tcBorders>
              <w:top w:val="nil"/>
              <w:left w:val="nil"/>
              <w:bottom w:val="nil"/>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158,252</w:t>
            </w:r>
          </w:p>
        </w:tc>
        <w:tc>
          <w:tcPr>
            <w:tcW w:w="1008" w:type="dxa"/>
            <w:tcBorders>
              <w:top w:val="nil"/>
              <w:left w:val="nil"/>
              <w:bottom w:val="nil"/>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165,299</w:t>
            </w:r>
          </w:p>
        </w:tc>
        <w:tc>
          <w:tcPr>
            <w:tcW w:w="1008" w:type="dxa"/>
            <w:tcBorders>
              <w:top w:val="nil"/>
              <w:left w:val="nil"/>
              <w:bottom w:val="nil"/>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157,621</w:t>
            </w:r>
          </w:p>
        </w:tc>
        <w:tc>
          <w:tcPr>
            <w:tcW w:w="1008" w:type="dxa"/>
            <w:tcBorders>
              <w:top w:val="nil"/>
              <w:left w:val="nil"/>
              <w:bottom w:val="nil"/>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170,485</w:t>
            </w:r>
          </w:p>
        </w:tc>
        <w:tc>
          <w:tcPr>
            <w:tcW w:w="1008" w:type="dxa"/>
            <w:tcBorders>
              <w:top w:val="nil"/>
              <w:left w:val="nil"/>
              <w:bottom w:val="nil"/>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170,485</w:t>
            </w:r>
          </w:p>
        </w:tc>
        <w:tc>
          <w:tcPr>
            <w:tcW w:w="1008" w:type="dxa"/>
            <w:tcBorders>
              <w:top w:val="nil"/>
              <w:left w:val="nil"/>
              <w:bottom w:val="nil"/>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153,666</w:t>
            </w:r>
          </w:p>
        </w:tc>
        <w:tc>
          <w:tcPr>
            <w:tcW w:w="1008" w:type="dxa"/>
            <w:tcBorders>
              <w:top w:val="nil"/>
              <w:left w:val="nil"/>
              <w:bottom w:val="nil"/>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157,765</w:t>
            </w:r>
          </w:p>
        </w:tc>
        <w:tc>
          <w:tcPr>
            <w:tcW w:w="1008" w:type="dxa"/>
            <w:tcBorders>
              <w:top w:val="nil"/>
              <w:left w:val="nil"/>
              <w:bottom w:val="nil"/>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141,125</w:t>
            </w:r>
          </w:p>
        </w:tc>
        <w:tc>
          <w:tcPr>
            <w:tcW w:w="1008" w:type="dxa"/>
            <w:tcBorders>
              <w:top w:val="nil"/>
              <w:left w:val="nil"/>
              <w:bottom w:val="nil"/>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166,347</w:t>
            </w:r>
          </w:p>
        </w:tc>
      </w:tr>
      <w:tr w:rsidR="009D2900" w:rsidRPr="00E51DC2" w:rsidTr="00742EC2">
        <w:tblPrEx>
          <w:tblBorders>
            <w:bottom w:val="single" w:sz="6" w:space="0" w:color="auto"/>
          </w:tblBorders>
        </w:tblPrEx>
        <w:trPr>
          <w:jc w:val="center"/>
        </w:trPr>
        <w:tc>
          <w:tcPr>
            <w:tcW w:w="1872" w:type="dxa"/>
            <w:tcBorders>
              <w:top w:val="nil"/>
              <w:left w:val="nil"/>
              <w:bottom w:val="double" w:sz="4" w:space="0" w:color="auto"/>
              <w:right w:val="nil"/>
            </w:tcBorders>
          </w:tcPr>
          <w:p w:rsidR="009D2900" w:rsidRPr="00E51DC2" w:rsidRDefault="009D2900" w:rsidP="00337B95">
            <w:pPr>
              <w:widowControl w:val="0"/>
              <w:autoSpaceDE w:val="0"/>
              <w:autoSpaceDN w:val="0"/>
              <w:adjustRightInd w:val="0"/>
              <w:spacing w:after="0" w:line="240" w:lineRule="auto"/>
              <w:rPr>
                <w:rFonts w:ascii="Times New Roman" w:hAnsi="Times New Roman" w:cs="Times New Roman"/>
                <w:sz w:val="16"/>
                <w:szCs w:val="16"/>
              </w:rPr>
            </w:pPr>
            <w:r w:rsidRPr="00E51DC2">
              <w:rPr>
                <w:rFonts w:ascii="Times New Roman" w:hAnsi="Times New Roman" w:cs="Times New Roman"/>
                <w:sz w:val="16"/>
                <w:szCs w:val="16"/>
              </w:rPr>
              <w:t>R-squared</w:t>
            </w:r>
          </w:p>
        </w:tc>
        <w:tc>
          <w:tcPr>
            <w:tcW w:w="1008" w:type="dxa"/>
            <w:tcBorders>
              <w:top w:val="nil"/>
              <w:left w:val="nil"/>
              <w:bottom w:val="double" w:sz="4" w:space="0" w:color="auto"/>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0.624</w:t>
            </w:r>
          </w:p>
        </w:tc>
        <w:tc>
          <w:tcPr>
            <w:tcW w:w="1008" w:type="dxa"/>
            <w:tcBorders>
              <w:top w:val="nil"/>
              <w:left w:val="nil"/>
              <w:bottom w:val="double" w:sz="4" w:space="0" w:color="auto"/>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0.619</w:t>
            </w:r>
          </w:p>
        </w:tc>
        <w:tc>
          <w:tcPr>
            <w:tcW w:w="1008" w:type="dxa"/>
            <w:tcBorders>
              <w:top w:val="nil"/>
              <w:left w:val="nil"/>
              <w:bottom w:val="double" w:sz="4" w:space="0" w:color="auto"/>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0.625</w:t>
            </w:r>
          </w:p>
        </w:tc>
        <w:tc>
          <w:tcPr>
            <w:tcW w:w="1008" w:type="dxa"/>
            <w:tcBorders>
              <w:top w:val="nil"/>
              <w:left w:val="nil"/>
              <w:bottom w:val="double" w:sz="4" w:space="0" w:color="auto"/>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0.624</w:t>
            </w:r>
          </w:p>
        </w:tc>
        <w:tc>
          <w:tcPr>
            <w:tcW w:w="1008" w:type="dxa"/>
            <w:tcBorders>
              <w:top w:val="nil"/>
              <w:left w:val="nil"/>
              <w:bottom w:val="double" w:sz="4" w:space="0" w:color="auto"/>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0.631</w:t>
            </w:r>
          </w:p>
        </w:tc>
        <w:tc>
          <w:tcPr>
            <w:tcW w:w="1008" w:type="dxa"/>
            <w:tcBorders>
              <w:top w:val="nil"/>
              <w:left w:val="nil"/>
              <w:bottom w:val="double" w:sz="4" w:space="0" w:color="auto"/>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0.619</w:t>
            </w:r>
          </w:p>
        </w:tc>
        <w:tc>
          <w:tcPr>
            <w:tcW w:w="1008" w:type="dxa"/>
            <w:tcBorders>
              <w:top w:val="nil"/>
              <w:left w:val="nil"/>
              <w:bottom w:val="double" w:sz="4" w:space="0" w:color="auto"/>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0.619</w:t>
            </w:r>
          </w:p>
        </w:tc>
        <w:tc>
          <w:tcPr>
            <w:tcW w:w="1008" w:type="dxa"/>
            <w:tcBorders>
              <w:top w:val="nil"/>
              <w:left w:val="nil"/>
              <w:bottom w:val="double" w:sz="4" w:space="0" w:color="auto"/>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0.626</w:t>
            </w:r>
          </w:p>
        </w:tc>
        <w:tc>
          <w:tcPr>
            <w:tcW w:w="1008" w:type="dxa"/>
            <w:tcBorders>
              <w:top w:val="nil"/>
              <w:left w:val="nil"/>
              <w:bottom w:val="double" w:sz="4" w:space="0" w:color="auto"/>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0.622</w:t>
            </w:r>
          </w:p>
        </w:tc>
        <w:tc>
          <w:tcPr>
            <w:tcW w:w="1008" w:type="dxa"/>
            <w:tcBorders>
              <w:top w:val="nil"/>
              <w:left w:val="nil"/>
              <w:bottom w:val="double" w:sz="4" w:space="0" w:color="auto"/>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0.631</w:t>
            </w:r>
          </w:p>
        </w:tc>
        <w:tc>
          <w:tcPr>
            <w:tcW w:w="1008" w:type="dxa"/>
            <w:tcBorders>
              <w:top w:val="nil"/>
              <w:left w:val="nil"/>
              <w:bottom w:val="double" w:sz="4" w:space="0" w:color="auto"/>
              <w:right w:val="nil"/>
            </w:tcBorders>
          </w:tcPr>
          <w:p w:rsidR="009D2900" w:rsidRPr="00160142" w:rsidRDefault="009D2900" w:rsidP="003F7D8D">
            <w:pPr>
              <w:widowControl w:val="0"/>
              <w:autoSpaceDE w:val="0"/>
              <w:autoSpaceDN w:val="0"/>
              <w:adjustRightInd w:val="0"/>
              <w:spacing w:after="0" w:line="240" w:lineRule="auto"/>
              <w:jc w:val="center"/>
              <w:rPr>
                <w:rFonts w:ascii="Times New Roman" w:hAnsi="Times New Roman" w:cs="Times New Roman"/>
                <w:sz w:val="16"/>
                <w:szCs w:val="16"/>
              </w:rPr>
            </w:pPr>
            <w:r w:rsidRPr="00160142">
              <w:rPr>
                <w:rFonts w:ascii="Times New Roman" w:hAnsi="Times New Roman" w:cs="Times New Roman"/>
                <w:sz w:val="16"/>
                <w:szCs w:val="16"/>
              </w:rPr>
              <w:t>0.624</w:t>
            </w:r>
          </w:p>
        </w:tc>
      </w:tr>
    </w:tbl>
    <w:p w:rsidR="00CC153B" w:rsidRDefault="00CC153B" w:rsidP="00CC153B">
      <w:pPr>
        <w:spacing w:after="0" w:line="240" w:lineRule="auto"/>
      </w:pPr>
    </w:p>
    <w:p w:rsidR="00981E01" w:rsidRDefault="00981E01" w:rsidP="00D81485"/>
    <w:sectPr w:rsidR="00981E01" w:rsidSect="00981E01">
      <w:footnotePr>
        <w:numFmt w:val="chicago"/>
      </w:footnotePr>
      <w:pgSz w:w="15840" w:h="12240" w:orient="landscape" w:code="1"/>
      <w:pgMar w:top="1440" w:right="1440"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D6B" w:rsidRDefault="00D75D6B" w:rsidP="00821BD4">
      <w:pPr>
        <w:spacing w:after="0" w:line="240" w:lineRule="auto"/>
      </w:pPr>
      <w:r>
        <w:separator/>
      </w:r>
    </w:p>
  </w:endnote>
  <w:endnote w:type="continuationSeparator" w:id="0">
    <w:p w:rsidR="00D75D6B" w:rsidRDefault="00D75D6B" w:rsidP="0082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 Monospace">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rPr>
      <w:id w:val="1522658539"/>
      <w:docPartObj>
        <w:docPartGallery w:val="Page Numbers (Bottom of Page)"/>
        <w:docPartUnique/>
      </w:docPartObj>
    </w:sdtPr>
    <w:sdtEndPr>
      <w:rPr>
        <w:noProof/>
      </w:rPr>
    </w:sdtEndPr>
    <w:sdtContent>
      <w:p w:rsidR="00F66B3C" w:rsidRPr="00C32366" w:rsidRDefault="00F66B3C" w:rsidP="003465DB">
        <w:pPr>
          <w:pStyle w:val="a6"/>
          <w:jc w:val="center"/>
          <w:rPr>
            <w:rFonts w:ascii="Times New Roman" w:hAnsi="Times New Roman" w:cs="Times New Roman"/>
            <w:sz w:val="18"/>
          </w:rPr>
        </w:pPr>
        <w:r w:rsidRPr="00C32366">
          <w:rPr>
            <w:rFonts w:ascii="Times New Roman" w:hAnsi="Times New Roman" w:cs="Times New Roman"/>
            <w:sz w:val="18"/>
          </w:rPr>
          <w:fldChar w:fldCharType="begin"/>
        </w:r>
        <w:r w:rsidRPr="00C32366">
          <w:rPr>
            <w:rFonts w:ascii="Times New Roman" w:hAnsi="Times New Roman" w:cs="Times New Roman"/>
            <w:sz w:val="18"/>
          </w:rPr>
          <w:instrText xml:space="preserve"> PAGE   \* MERGEFORMAT </w:instrText>
        </w:r>
        <w:r w:rsidRPr="00C32366">
          <w:rPr>
            <w:rFonts w:ascii="Times New Roman" w:hAnsi="Times New Roman" w:cs="Times New Roman"/>
            <w:sz w:val="18"/>
          </w:rPr>
          <w:fldChar w:fldCharType="separate"/>
        </w:r>
        <w:r w:rsidR="00BF76E6">
          <w:rPr>
            <w:rFonts w:ascii="Times New Roman" w:hAnsi="Times New Roman" w:cs="Times New Roman"/>
            <w:noProof/>
            <w:sz w:val="18"/>
          </w:rPr>
          <w:t>1</w:t>
        </w:r>
        <w:r w:rsidRPr="00C32366">
          <w:rPr>
            <w:rFonts w:ascii="Times New Roman" w:hAnsi="Times New Roman" w:cs="Times New Roman"/>
            <w:noProof/>
            <w:sz w:val="18"/>
          </w:rPr>
          <w:fldChar w:fldCharType="end"/>
        </w:r>
      </w:p>
    </w:sdtContent>
  </w:sdt>
  <w:p w:rsidR="00F66B3C" w:rsidRDefault="00F66B3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973232"/>
      <w:docPartObj>
        <w:docPartGallery w:val="Page Numbers (Bottom of Page)"/>
        <w:docPartUnique/>
      </w:docPartObj>
    </w:sdtPr>
    <w:sdtEndPr>
      <w:rPr>
        <w:noProof/>
      </w:rPr>
    </w:sdtEndPr>
    <w:sdtContent>
      <w:p w:rsidR="00F66B3C" w:rsidRDefault="00F66B3C">
        <w:pPr>
          <w:pStyle w:val="a6"/>
          <w:jc w:val="right"/>
        </w:pPr>
        <w:r>
          <w:fldChar w:fldCharType="begin"/>
        </w:r>
        <w:r>
          <w:instrText xml:space="preserve"> PAGE   \* MERGEFORMAT </w:instrText>
        </w:r>
        <w:r>
          <w:fldChar w:fldCharType="separate"/>
        </w:r>
        <w:r w:rsidR="00BF76E6">
          <w:rPr>
            <w:noProof/>
          </w:rPr>
          <w:t>35</w:t>
        </w:r>
        <w:r>
          <w:rPr>
            <w:noProof/>
          </w:rPr>
          <w:fldChar w:fldCharType="end"/>
        </w:r>
      </w:p>
    </w:sdtContent>
  </w:sdt>
  <w:p w:rsidR="00F66B3C" w:rsidRDefault="00F66B3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01934"/>
      <w:docPartObj>
        <w:docPartGallery w:val="Page Numbers (Bottom of Page)"/>
        <w:docPartUnique/>
      </w:docPartObj>
    </w:sdtPr>
    <w:sdtEndPr>
      <w:rPr>
        <w:noProof/>
      </w:rPr>
    </w:sdtEndPr>
    <w:sdtContent>
      <w:p w:rsidR="00F66B3C" w:rsidRDefault="00F66B3C" w:rsidP="003465DB">
        <w:pPr>
          <w:pStyle w:val="a6"/>
          <w:jc w:val="center"/>
        </w:pPr>
        <w:r w:rsidRPr="00805E42">
          <w:rPr>
            <w:rFonts w:ascii="Times New Roman" w:hAnsi="Times New Roman" w:cs="Times New Roman"/>
            <w:sz w:val="18"/>
          </w:rPr>
          <w:fldChar w:fldCharType="begin"/>
        </w:r>
        <w:r w:rsidRPr="00805E42">
          <w:rPr>
            <w:rFonts w:ascii="Times New Roman" w:hAnsi="Times New Roman" w:cs="Times New Roman"/>
            <w:sz w:val="18"/>
          </w:rPr>
          <w:instrText xml:space="preserve"> PAGE   \* MERGEFORMAT </w:instrText>
        </w:r>
        <w:r w:rsidRPr="00805E42">
          <w:rPr>
            <w:rFonts w:ascii="Times New Roman" w:hAnsi="Times New Roman" w:cs="Times New Roman"/>
            <w:sz w:val="18"/>
          </w:rPr>
          <w:fldChar w:fldCharType="separate"/>
        </w:r>
        <w:r w:rsidR="00BF76E6">
          <w:rPr>
            <w:rFonts w:ascii="Times New Roman" w:hAnsi="Times New Roman" w:cs="Times New Roman"/>
            <w:noProof/>
            <w:sz w:val="18"/>
          </w:rPr>
          <w:t>50</w:t>
        </w:r>
        <w:r w:rsidRPr="00805E42">
          <w:rPr>
            <w:rFonts w:ascii="Times New Roman" w:hAnsi="Times New Roman" w:cs="Times New Roman"/>
            <w:noProof/>
            <w:sz w:val="18"/>
          </w:rPr>
          <w:fldChar w:fldCharType="end"/>
        </w:r>
      </w:p>
    </w:sdtContent>
  </w:sdt>
  <w:p w:rsidR="00F66B3C" w:rsidRDefault="00F66B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D6B" w:rsidRDefault="00D75D6B" w:rsidP="00821BD4">
      <w:pPr>
        <w:spacing w:after="0" w:line="240" w:lineRule="auto"/>
      </w:pPr>
      <w:r>
        <w:separator/>
      </w:r>
    </w:p>
  </w:footnote>
  <w:footnote w:type="continuationSeparator" w:id="0">
    <w:p w:rsidR="00D75D6B" w:rsidRDefault="00D75D6B" w:rsidP="00821BD4">
      <w:pPr>
        <w:spacing w:after="0" w:line="240" w:lineRule="auto"/>
      </w:pPr>
      <w:r>
        <w:continuationSeparator/>
      </w:r>
    </w:p>
  </w:footnote>
  <w:footnote w:id="1">
    <w:p w:rsidR="00F66B3C" w:rsidRPr="00C9546C" w:rsidRDefault="00F66B3C">
      <w:pPr>
        <w:pStyle w:val="ab"/>
        <w:rPr>
          <w:rFonts w:ascii="Times New Roman" w:eastAsia="맑은 고딕" w:hAnsi="Times New Roman" w:cs="Times New Roman"/>
          <w:lang w:eastAsia="ko-KR"/>
        </w:rPr>
      </w:pPr>
      <w:r>
        <w:rPr>
          <w:rStyle w:val="ac"/>
        </w:rPr>
        <w:footnoteRef/>
      </w:r>
      <w:r>
        <w:t xml:space="preserve"> </w:t>
      </w:r>
      <w:r w:rsidRPr="00C9546C">
        <w:rPr>
          <w:rFonts w:ascii="Times New Roman" w:hAnsi="Times New Roman" w:cs="Times New Roman"/>
        </w:rPr>
        <w:t>Corresponding author Tel: 1-513-288-2796</w:t>
      </w:r>
    </w:p>
  </w:footnote>
  <w:footnote w:id="2">
    <w:p w:rsidR="00F66B3C" w:rsidRDefault="00F66B3C" w:rsidP="00C56961">
      <w:pPr>
        <w:pStyle w:val="ab"/>
        <w:rPr>
          <w:rFonts w:ascii="Times New Roman" w:hAnsi="Times New Roman" w:cs="Times New Roman"/>
        </w:rPr>
      </w:pPr>
      <w:r w:rsidRPr="00271630">
        <w:rPr>
          <w:rStyle w:val="ac"/>
          <w:rFonts w:ascii="Times New Roman" w:hAnsi="Times New Roman" w:cs="Times New Roman"/>
        </w:rPr>
        <w:footnoteRef/>
      </w:r>
      <w:r w:rsidRPr="00271630">
        <w:rPr>
          <w:rFonts w:ascii="Times New Roman" w:hAnsi="Times New Roman" w:cs="Times New Roman"/>
          <w:sz w:val="18"/>
          <w:szCs w:val="18"/>
        </w:rPr>
        <w:t xml:space="preserve"> See </w:t>
      </w:r>
      <w:r w:rsidRPr="00271630">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 "citationItems" : [ { "id" : "ITEM-1", "itemData" : { "DOI" : "10.1086/261970", "ISBN" : "00223808", "ISSN" : "0022-3808", "PMID" : "9501123148", "abstract" : "In this paper, we show that Tobin's q and firm diversification are negatively related. This negative relation holds for different diversification measures and when we control for other known determinants of q. We show further that diversified firms have lower q's than equivalent portfolios of specialized firms. This negative relation holds throughout the 1980s in our sample. Finally, it holds for firms that have kept their number of segments constant over a number of years as well as for firms that have not. In our sample, firms that increase their number of segments have lower q's than firms that keep their number of segment constant. Our evidence is consistent with the view that firms seek growth through diversification when they have exhausted internal growth opportunities. We fail to find evidence supportive of the view that diversification provides firms with a valuable intangible asset.", "author" : [ { "dropping-particle" : "", "family" : "Lang", "given" : "Larry H. P.", "non-dropping-particle" : "", "parse-names" : false, "suffix" : "" }, { "dropping-particle" : "", "family" : "Stulz", "given" : "Rene M.", "non-dropping-particle" : "", "parse-names" : false, "suffix" : "" } ], "container-title" : "Journal of Political Economy", "id" : "ITEM-1", "issue" : "6", "issued" : { "date-parts" : [ [ "1994" ] ] }, "page" : "1248", "title" : "Tobin's q, Corporate Diversification, and Firm Performance", "type" : "article-journal", "volume" : "102" }, "uris" : [ "http://www.mendeley.com/documents/?uuid=0cce827b-d119-43d7-8298-698f9608c64e" ] } ], "mendeley" : { "formattedCitation" : "Lang and Stulz (1994)", "plainTextFormattedCitation" : "Lang and Stulz (1994)", "previouslyFormattedCitation" : "Lang and Stulz (1994)" }, "properties" : { "noteIndex" : 0 }, "schema" : "https://github.com/citation-style-language/schema/raw/master/csl-citation.json" }</w:instrText>
      </w:r>
      <w:r w:rsidRPr="00271630">
        <w:rPr>
          <w:rFonts w:ascii="Times New Roman" w:hAnsi="Times New Roman" w:cs="Times New Roman"/>
          <w:sz w:val="18"/>
          <w:szCs w:val="18"/>
        </w:rPr>
        <w:fldChar w:fldCharType="separate"/>
      </w:r>
      <w:r w:rsidRPr="00271630">
        <w:rPr>
          <w:rFonts w:ascii="Times New Roman" w:hAnsi="Times New Roman" w:cs="Times New Roman"/>
          <w:noProof/>
          <w:sz w:val="18"/>
          <w:szCs w:val="18"/>
        </w:rPr>
        <w:t>Lang and Stulz (1994)</w:t>
      </w:r>
      <w:r w:rsidRPr="00271630">
        <w:rPr>
          <w:rFonts w:ascii="Times New Roman" w:hAnsi="Times New Roman" w:cs="Times New Roman"/>
          <w:sz w:val="18"/>
          <w:szCs w:val="18"/>
        </w:rPr>
        <w:fldChar w:fldCharType="end"/>
      </w:r>
      <w:r>
        <w:rPr>
          <w:rFonts w:ascii="Times New Roman" w:hAnsi="Times New Roman" w:cs="Times New Roman"/>
          <w:sz w:val="18"/>
        </w:rPr>
        <w:t xml:space="preserve">, </w:t>
      </w:r>
      <w:r>
        <w:rPr>
          <w:rFonts w:ascii="Times New Roman" w:hAnsi="Times New Roman" w:cs="Times New Roman"/>
          <w:sz w:val="18"/>
        </w:rPr>
        <w:fldChar w:fldCharType="begin" w:fldLock="1"/>
      </w:r>
      <w:r>
        <w:rPr>
          <w:rFonts w:ascii="Times New Roman" w:hAnsi="Times New Roman" w:cs="Times New Roman"/>
          <w:sz w:val="18"/>
        </w:rPr>
        <w:instrText>ADDIN CSL_CITATION { "citationItems" : [ { "id" : "ITEM-1", "itemData" : { "author" : [ { "dropping-particle" : "", "family" : "Lamont", "given" : "Owen", "non-dropping-particle" : "", "parse-names" : false, "suffix" : "" } ], "container-title" : "the Journal of Finance", "id" : "ITEM-1", "issue" : "1", "issued" : { "date-parts" : [ [ "1997" ] ] }, "page" : "1-28", "title" : "Cash Flow and Investment: Evidence from Internal Capital Markets", "type" : "article-journal", "volume" : "52" }, "uris" : [ "http://www.mendeley.com/documents/?uuid=328e351b-732e-4d87-bbbe-0d1bfd2bf6bf" ] } ], "mendeley" : { "formattedCitation" : "Lamont (1997)", "plainTextFormattedCitation" : "Lamont (1997)", "previouslyFormattedCitation" : "Lamont (1997)" }, "properties" : { "noteIndex" : 0 }, "schema" : "https://github.com/citation-style-language/schema/raw/master/csl-citation.json" }</w:instrText>
      </w:r>
      <w:r>
        <w:rPr>
          <w:rFonts w:ascii="Times New Roman" w:hAnsi="Times New Roman" w:cs="Times New Roman"/>
          <w:sz w:val="18"/>
        </w:rPr>
        <w:fldChar w:fldCharType="separate"/>
      </w:r>
      <w:r w:rsidRPr="00C462AD">
        <w:rPr>
          <w:rFonts w:ascii="Times New Roman" w:hAnsi="Times New Roman" w:cs="Times New Roman"/>
          <w:noProof/>
          <w:sz w:val="18"/>
        </w:rPr>
        <w:t>Lamont (1997)</w:t>
      </w:r>
      <w:r>
        <w:rPr>
          <w:rFonts w:ascii="Times New Roman" w:hAnsi="Times New Roman" w:cs="Times New Roman"/>
          <w:sz w:val="18"/>
        </w:rPr>
        <w:fldChar w:fldCharType="end"/>
      </w:r>
      <w:r>
        <w:rPr>
          <w:rFonts w:ascii="Times New Roman" w:hAnsi="Times New Roman" w:cs="Times New Roman"/>
          <w:sz w:val="18"/>
        </w:rPr>
        <w:t xml:space="preserve">, </w:t>
      </w:r>
      <w:r>
        <w:rPr>
          <w:rFonts w:ascii="Times New Roman" w:hAnsi="Times New Roman" w:cs="Times New Roman"/>
          <w:sz w:val="18"/>
        </w:rPr>
        <w:fldChar w:fldCharType="begin" w:fldLock="1"/>
      </w:r>
      <w:r>
        <w:rPr>
          <w:rFonts w:ascii="Times New Roman" w:hAnsi="Times New Roman" w:cs="Times New Roman"/>
          <w:sz w:val="18"/>
        </w:rPr>
        <w:instrText>ADDIN CSL_CITATION { "citationItems" : [ { "id" : "ITEM-1", "itemData" : { "author" : [ { "dropping-particle" : "", "family" : "Shin", "given" : "Hyun-Han", "non-dropping-particle" : "", "parse-names" : false, "suffix" : "" }, { "dropping-particle" : "", "family" : "Stulz", "given" : "Rene", "non-dropping-particle" : "", "parse-names" : false, "suffix" : "" } ], "container-title" : "Quarterly Journal of Economics", "id" : "ITEM-1", "issue" : "May", "issued" : { "date-parts" : [ [ "1998" ] ] }, "page" : "531-552", "title" : "Are internal capital markets efficient?", "type" : "article-journal", "volume" : "113" }, "uris" : [ "http://www.mendeley.com/documents/?uuid=f3ebcb05-bbd6-47f9-9aad-ebf49e0c5ec7" ] } ], "mendeley" : { "formattedCitation" : "Shin and Stulz (1998)", "plainTextFormattedCitation" : "Shin and Stulz (1998)", "previouslyFormattedCitation" : "Shin and Stulz (1998)" }, "properties" : { "noteIndex" : 0 }, "schema" : "https://github.com/citation-style-language/schema/raw/master/csl-citation.json" }</w:instrText>
      </w:r>
      <w:r>
        <w:rPr>
          <w:rFonts w:ascii="Times New Roman" w:hAnsi="Times New Roman" w:cs="Times New Roman"/>
          <w:sz w:val="18"/>
        </w:rPr>
        <w:fldChar w:fldCharType="separate"/>
      </w:r>
      <w:r w:rsidRPr="00C462AD">
        <w:rPr>
          <w:rFonts w:ascii="Times New Roman" w:hAnsi="Times New Roman" w:cs="Times New Roman"/>
          <w:noProof/>
          <w:sz w:val="18"/>
        </w:rPr>
        <w:t>Shin and Stulz (1998)</w:t>
      </w:r>
      <w:r>
        <w:rPr>
          <w:rFonts w:ascii="Times New Roman" w:hAnsi="Times New Roman" w:cs="Times New Roman"/>
          <w:sz w:val="18"/>
        </w:rPr>
        <w:fldChar w:fldCharType="end"/>
      </w:r>
      <w:r>
        <w:rPr>
          <w:rFonts w:ascii="Times New Roman" w:hAnsi="Times New Roman" w:cs="Times New Roman"/>
          <w:sz w:val="18"/>
        </w:rPr>
        <w:t xml:space="preserve">, </w:t>
      </w:r>
      <w:r>
        <w:rPr>
          <w:rFonts w:ascii="Times New Roman" w:hAnsi="Times New Roman" w:cs="Times New Roman"/>
          <w:sz w:val="18"/>
        </w:rPr>
        <w:fldChar w:fldCharType="begin" w:fldLock="1"/>
      </w:r>
      <w:r>
        <w:rPr>
          <w:rFonts w:ascii="Times New Roman" w:hAnsi="Times New Roman" w:cs="Times New Roman"/>
          <w:sz w:val="18"/>
        </w:rPr>
        <w:instrText>ADDIN CSL_CITATION { "citationItems" : [ { "id" : "ITEM-1", "itemData" : { "DOI" : "doi/10.1111/0022-1082.00200/abstract", "ISBN" : "00221082", "ISSN" : "0022-1082", "abstract" : "We model the distortions that internal power struggles can generate in the allocation of resources between divisions of a diversified firm. The model predicts that if divisions are similar in the level of their resources and opportunities, funds will be transferred from divisions with poor opportunities to divisions with good opportunities. When diversity in resources and opportunities increases, however, resources can flow toward the most inefficient division, leading to more inefficient investment and less valuable firms. We test these predictions on a panel of diversified U.S. firms during the period from 1980 to 1993 and find evidence consistent with them.", "author" : [ { "dropping-particle" : "", "family" : "Rajan", "given" : "R", "non-dropping-particle" : "", "parse-names" : false, "suffix" : "" }, { "dropping-particle" : "", "family" : "Servaes", "given" : "H", "non-dropping-particle" : "", "parse-names" : false, "suffix" : "" }, { "dropping-particle" : "", "family" : "Zingales", "given" : "L", "non-dropping-particle" : "", "parse-names" : false, "suffix" : "" } ], "container-title" : "The Journal of Finance", "id" : "ITEM-1", "issue" : "1", "issued" : { "date-parts" : [ [ "2000" ] ] }, "page" : "35-80", "title" : "The Cost of Diversity: The Diversification Discount and Inefficient Investment", "type" : "article-journal", "volume" : "55" }, "uris" : [ "http://www.mendeley.com/documents/?uuid=df2e07fe-5daf-43df-a6d6-8eb8a3dbd99a" ] } ], "mendeley" : { "formattedCitation" : "Rajan, Servaes, and Zingales (2000)", "plainTextFormattedCitation" : "Rajan, Servaes, and Zingales (2000)", "previouslyFormattedCitation" : "Rajan, Servaes, and Zingales (2000)" }, "properties" : { "noteIndex" : 0 }, "schema" : "https://github.com/citation-style-language/schema/raw/master/csl-citation.json" }</w:instrText>
      </w:r>
      <w:r>
        <w:rPr>
          <w:rFonts w:ascii="Times New Roman" w:hAnsi="Times New Roman" w:cs="Times New Roman"/>
          <w:sz w:val="18"/>
        </w:rPr>
        <w:fldChar w:fldCharType="separate"/>
      </w:r>
      <w:r w:rsidRPr="00C462AD">
        <w:rPr>
          <w:rFonts w:ascii="Times New Roman" w:hAnsi="Times New Roman" w:cs="Times New Roman"/>
          <w:noProof/>
          <w:sz w:val="18"/>
        </w:rPr>
        <w:t>Rajan, Servaes, and Zingales (2000)</w:t>
      </w:r>
      <w:r>
        <w:rPr>
          <w:rFonts w:ascii="Times New Roman" w:hAnsi="Times New Roman" w:cs="Times New Roman"/>
          <w:sz w:val="18"/>
        </w:rPr>
        <w:fldChar w:fldCharType="end"/>
      </w:r>
      <w:r>
        <w:rPr>
          <w:rFonts w:ascii="Times New Roman" w:hAnsi="Times New Roman" w:cs="Times New Roman"/>
          <w:sz w:val="18"/>
        </w:rPr>
        <w:t xml:space="preserve">, </w:t>
      </w:r>
      <w:r>
        <w:rPr>
          <w:rFonts w:ascii="Times New Roman" w:hAnsi="Times New Roman" w:cs="Times New Roman"/>
          <w:sz w:val="18"/>
        </w:rPr>
        <w:fldChar w:fldCharType="begin" w:fldLock="1"/>
      </w:r>
      <w:r>
        <w:rPr>
          <w:rFonts w:ascii="Times New Roman" w:hAnsi="Times New Roman" w:cs="Times New Roman"/>
          <w:sz w:val="18"/>
        </w:rPr>
        <w:instrText>ADDIN CSL_CITATION { "citationItems" : [ { "id" : "ITEM-1", "itemData" : { "DOI" : "10.2307/3094534", "ISBN" : "00221082", "ISSN" : "00221082", "abstract" : "We examine the investment behavior of firms before and after being spun off from their parent companies. Their investment after the spin-off is significantly more sensitive to measures of investment opportunities (e.g., industry Tobin's Q or industry investment) than it is before the spin-off. Spin-offs tend to cut investment in low Q industries and increase investment in high Q industries. These changes are observed primarily in spin-offs of firms in industries unrelated to the parents' industries and in spin-offs where the stock market reacts favorably to the spin-off announcement. Our findings suggest that spin-offs may improve the allocation of capital.", "author" : [ { "dropping-particle" : "", "family" : "Gertner", "given" : "Robert", "non-dropping-particle" : "", "parse-names" : false, "suffix" : "" }, { "dropping-particle" : "", "family" : "Powers", "given" : "Eric", "non-dropping-particle" : "", "parse-names" : false, "suffix" : "" }, { "dropping-particle" : "", "family" : "Scharfstein", "given" : "David", "non-dropping-particle" : "", "parse-names" : false, "suffix" : "" } ], "container-title" : "Journal of Finance", "id" : "ITEM-1", "issue" : "6", "issued" : { "date-parts" : [ [ "2002" ] ] }, "page" : "2479-2506", "title" : "Learning about Internal Capital Markets from Corporate Spin-offs", "type" : "article-journal", "volume" : "57" }, "uris" : [ "http://www.mendeley.com/documents/?uuid=3d5d2511-92d2-4051-b97b-a86b7e3966e3" ] } ], "mendeley" : { "formattedCitation" : "Gertner, Powers, and Scharfstein (2002)", "plainTextFormattedCitation" : "Gertner, Powers, and Scharfstein (2002)", "previouslyFormattedCitation" : "Gertner, Powers, and Scharfstein (2002)" }, "properties" : { "noteIndex" : 0 }, "schema" : "https://github.com/citation-style-language/schema/raw/master/csl-citation.json" }</w:instrText>
      </w:r>
      <w:r>
        <w:rPr>
          <w:rFonts w:ascii="Times New Roman" w:hAnsi="Times New Roman" w:cs="Times New Roman"/>
          <w:sz w:val="18"/>
        </w:rPr>
        <w:fldChar w:fldCharType="separate"/>
      </w:r>
      <w:r w:rsidRPr="00C462AD">
        <w:rPr>
          <w:rFonts w:ascii="Times New Roman" w:hAnsi="Times New Roman" w:cs="Times New Roman"/>
          <w:noProof/>
          <w:sz w:val="18"/>
        </w:rPr>
        <w:t>Gertner, Powers, and Scharfstein (2002)</w:t>
      </w:r>
      <w:r>
        <w:rPr>
          <w:rFonts w:ascii="Times New Roman" w:hAnsi="Times New Roman" w:cs="Times New Roman"/>
          <w:sz w:val="18"/>
        </w:rPr>
        <w:fldChar w:fldCharType="end"/>
      </w:r>
      <w:r>
        <w:rPr>
          <w:rFonts w:ascii="Times New Roman" w:hAnsi="Times New Roman" w:cs="Times New Roman"/>
          <w:sz w:val="18"/>
        </w:rPr>
        <w:t xml:space="preserve">, </w:t>
      </w:r>
      <w:r>
        <w:rPr>
          <w:rFonts w:ascii="Times New Roman" w:hAnsi="Times New Roman" w:cs="Times New Roman"/>
          <w:sz w:val="18"/>
        </w:rPr>
        <w:fldChar w:fldCharType="begin" w:fldLock="1"/>
      </w:r>
      <w:r>
        <w:rPr>
          <w:rFonts w:ascii="Times New Roman" w:hAnsi="Times New Roman" w:cs="Times New Roman"/>
          <w:sz w:val="18"/>
        </w:rPr>
        <w:instrText>ADDIN CSL_CITATION { "citationItems" : [ { "id" : "ITEM-1", "itemData" : { "DOI" : "10.1016/j.jfineco.2004.01.003", "ISBN" : "1213740665", "ISSN" : "0304405X", "abstract" : "Does the level of integration of a firm affect the quality of information available to its top decision makers responsible for allocating resources? Motivated by the pervasiveness of specific knowledge in large multi-division firms, I develop a model of internal competition for corporate resources among specialist managers and show that: (i) managers of integrated firms exaggerate the payoffs of their projects to obtain resources despite potentially adverse career consequences, and (ii) the exaggeration problem worsens with increased integration and reduces the allocative efficiency of an integrated firm. Control rights based on asset ownership enable the firm to set \"the rules of the game\" and improve managerial behavior through organizational processes such as rigid capital budgets, job rotation, centralization and hierarchies. \u00a9 2004 Elsevier B.V. All rights reserved.", "author" : [ { "dropping-particle" : "", "family" : "Ozbas", "given" : "Oguzhan", "non-dropping-particle" : "", "parse-names" : false, "suffix" : "" } ], "container-title" : "Journal of Financial Economics", "id" : "ITEM-1", "issue" : "1", "issued" : { "date-parts" : [ [ "2005" ] ] }, "page" : "201-242", "title" : "Integration, organizational processes, and allocation of resources", "type" : "article-journal", "volume" : "75" }, "uris" : [ "http://www.mendeley.com/documents/?uuid=71417176-f8f1-42ac-aac6-966676f99417" ] } ], "mendeley" : { "formattedCitation" : "Ozbas (2005)", "plainTextFormattedCitation" : "Ozbas (2005)", "previouslyFormattedCitation" : "Ozbas (2005)" }, "properties" : { "noteIndex" : 0 }, "schema" : "https://github.com/citation-style-language/schema/raw/master/csl-citation.json" }</w:instrText>
      </w:r>
      <w:r>
        <w:rPr>
          <w:rFonts w:ascii="Times New Roman" w:hAnsi="Times New Roman" w:cs="Times New Roman"/>
          <w:sz w:val="18"/>
        </w:rPr>
        <w:fldChar w:fldCharType="separate"/>
      </w:r>
      <w:r w:rsidRPr="00C462AD">
        <w:rPr>
          <w:rFonts w:ascii="Times New Roman" w:hAnsi="Times New Roman" w:cs="Times New Roman"/>
          <w:noProof/>
          <w:sz w:val="18"/>
        </w:rPr>
        <w:t>Ozbas (2005)</w:t>
      </w:r>
      <w:r>
        <w:rPr>
          <w:rFonts w:ascii="Times New Roman" w:hAnsi="Times New Roman" w:cs="Times New Roman"/>
          <w:sz w:val="18"/>
        </w:rPr>
        <w:fldChar w:fldCharType="end"/>
      </w:r>
      <w:r>
        <w:rPr>
          <w:rFonts w:ascii="Times New Roman" w:hAnsi="Times New Roman" w:cs="Times New Roman"/>
          <w:sz w:val="18"/>
        </w:rPr>
        <w:t xml:space="preserve">, </w:t>
      </w:r>
      <w:r>
        <w:rPr>
          <w:rFonts w:ascii="Times New Roman" w:hAnsi="Times New Roman" w:cs="Times New Roman"/>
          <w:sz w:val="18"/>
        </w:rPr>
        <w:fldChar w:fldCharType="begin" w:fldLock="1"/>
      </w:r>
      <w:r>
        <w:rPr>
          <w:rFonts w:ascii="Times New Roman" w:hAnsi="Times New Roman" w:cs="Times New Roman"/>
          <w:sz w:val="18"/>
        </w:rPr>
        <w:instrText>ADDIN CSL_CITATION { "citationItems" : [ { "id" : "ITEM-1", "itemData" : { "DOI" : "10.1093/rfs/hhp030", "ISBN" : "0893-9454", "ISSN" : "08939454", "abstract" : "This article investigates how the job histories of CEOs influence their capital allocation decisions when they preside over multidivisional firms. I find that, after CEO turnover, divisions not previously affiliated with the new CEO receive significantly more capital expenditures than divisions through which the new CEO has advanced. The pattern of reverse-favoritism in capital allocation is more pronounced if the new CEO has less authority or if the unaffiliated divisions have more bargaining power. I find evidence that having a specialist CEO negatively affects segment investment efficiency. The results suggest that new specialist CEOs use the capital budget as a bridge-building tool to elicit cooperation from powerful divisional managers in previously unaffiliated divisions. CR - Copyright &amp;#169; 2009 Oxford University Press", "author" : [ { "dropping-particle" : "", "family" : "Xuan", "given" : "Yuhai", "non-dropping-particle" : "", "parse-names" : false, "suffix" : "" } ], "container-title" : "Review of Financial Studies", "id" : "ITEM-1", "issue" : "2006", "issued" : { "date-parts" : [ [ "2009" ] ] }, "page" : "4919-4948", "title" : "Empire-building or bridge-building evidence from new CEOs' internal capital allocation decisions", "type" : "article-journal", "volume" : "22" }, "uris" : [ "http://www.mendeley.com/documents/?uuid=f88a2bbd-2378-4fab-9e20-efb1e3a9a28b" ] } ], "mendeley" : { "formattedCitation" : "Xuan (2009)", "plainTextFormattedCitation" : "Xuan (2009)", "previouslyFormattedCitation" : "Xuan (2009)" }, "properties" : { "noteIndex" : 0 }, "schema" : "https://github.com/citation-style-language/schema/raw/master/csl-citation.json" }</w:instrText>
      </w:r>
      <w:r>
        <w:rPr>
          <w:rFonts w:ascii="Times New Roman" w:hAnsi="Times New Roman" w:cs="Times New Roman"/>
          <w:sz w:val="18"/>
        </w:rPr>
        <w:fldChar w:fldCharType="separate"/>
      </w:r>
      <w:r w:rsidRPr="00C462AD">
        <w:rPr>
          <w:rFonts w:ascii="Times New Roman" w:hAnsi="Times New Roman" w:cs="Times New Roman"/>
          <w:noProof/>
          <w:sz w:val="18"/>
        </w:rPr>
        <w:t>Xuan (2009)</w:t>
      </w:r>
      <w:r>
        <w:rPr>
          <w:rFonts w:ascii="Times New Roman" w:hAnsi="Times New Roman" w:cs="Times New Roman"/>
          <w:sz w:val="18"/>
        </w:rPr>
        <w:fldChar w:fldCharType="end"/>
      </w:r>
      <w:r>
        <w:rPr>
          <w:rFonts w:ascii="Times New Roman" w:hAnsi="Times New Roman" w:cs="Times New Roman"/>
          <w:sz w:val="18"/>
        </w:rPr>
        <w:t xml:space="preserve">, </w:t>
      </w:r>
      <w:r>
        <w:rPr>
          <w:rFonts w:ascii="Times New Roman" w:hAnsi="Times New Roman" w:cs="Times New Roman"/>
          <w:sz w:val="18"/>
        </w:rPr>
        <w:fldChar w:fldCharType="begin" w:fldLock="1"/>
      </w:r>
      <w:r>
        <w:rPr>
          <w:rFonts w:ascii="Times New Roman" w:hAnsi="Times New Roman" w:cs="Times New Roman"/>
          <w:sz w:val="18"/>
        </w:rPr>
        <w:instrText>ADDIN CSL_CITATION { "citationItems" : [ { "id" : "ITEM-1", "itemData" : { "author" : [ { "dropping-particle" : "", "family" : "Ozbas", "given" : "Oguzhan", "non-dropping-particle" : "", "parse-names" : false, "suffix" : "" }, { "dropping-particle" : "", "family" : "Selvili", "given" : "Zekiye A", "non-dropping-particle" : "", "parse-names" : false, "suffix" : "" } ], "container-title" : "Working Paper", "id" : "ITEM-1", "issue" : "October", "issued" : { "date-parts" : [ [ "2009" ] ] }, "title" : "Organizational Scope and Allocation of Resources : Evidence on Rigid Capital Budgets", "type" : "article-journal" }, "uris" : [ "http://www.mendeley.com/documents/?uuid=e0e6fee9-96c6-45e1-bb9d-a036b5619b92" ] } ], "mendeley" : { "formattedCitation" : "Ozbas and Selvili (2009)", "plainTextFormattedCitation" : "Ozbas and Selvili (2009)", "previouslyFormattedCitation" : "Ozbas and Selvili (2009)" }, "properties" : { "noteIndex" : 0 }, "schema" : "https://github.com/citation-style-language/schema/raw/master/csl-citation.json" }</w:instrText>
      </w:r>
      <w:r>
        <w:rPr>
          <w:rFonts w:ascii="Times New Roman" w:hAnsi="Times New Roman" w:cs="Times New Roman"/>
          <w:sz w:val="18"/>
        </w:rPr>
        <w:fldChar w:fldCharType="separate"/>
      </w:r>
      <w:r w:rsidRPr="00C462AD">
        <w:rPr>
          <w:rFonts w:ascii="Times New Roman" w:hAnsi="Times New Roman" w:cs="Times New Roman"/>
          <w:noProof/>
          <w:sz w:val="18"/>
        </w:rPr>
        <w:t>Ozbas and Selvili (2009)</w:t>
      </w:r>
      <w:r>
        <w:rPr>
          <w:rFonts w:ascii="Times New Roman" w:hAnsi="Times New Roman" w:cs="Times New Roman"/>
          <w:sz w:val="18"/>
        </w:rPr>
        <w:fldChar w:fldCharType="end"/>
      </w:r>
      <w:r>
        <w:rPr>
          <w:rFonts w:ascii="Times New Roman" w:hAnsi="Times New Roman" w:cs="Times New Roman"/>
          <w:sz w:val="18"/>
        </w:rPr>
        <w:t>, etcetera.</w:t>
      </w:r>
    </w:p>
  </w:footnote>
  <w:footnote w:id="3">
    <w:p w:rsidR="00F66B3C" w:rsidRPr="00271630" w:rsidRDefault="00F66B3C">
      <w:pPr>
        <w:pStyle w:val="ab"/>
        <w:rPr>
          <w:rFonts w:ascii="Times New Roman" w:hAnsi="Times New Roman" w:cs="Times New Roman"/>
        </w:rPr>
      </w:pPr>
      <w:r w:rsidRPr="00271630">
        <w:rPr>
          <w:rStyle w:val="ac"/>
          <w:rFonts w:ascii="Times New Roman" w:hAnsi="Times New Roman" w:cs="Times New Roman"/>
        </w:rPr>
        <w:footnoteRef/>
      </w:r>
      <w:r w:rsidRPr="00271630">
        <w:rPr>
          <w:rFonts w:ascii="Times New Roman" w:hAnsi="Times New Roman" w:cs="Times New Roman"/>
          <w:sz w:val="18"/>
        </w:rPr>
        <w:t xml:space="preserve"> For example, Khurana, Martin, and Pereira (2006) show that poor financial market development encourages internal cash savings to avoid expensive external financing.</w:t>
      </w:r>
    </w:p>
  </w:footnote>
  <w:footnote w:id="4">
    <w:p w:rsidR="00F66B3C" w:rsidRPr="00667DCA" w:rsidRDefault="00F66B3C" w:rsidP="00821BD4">
      <w:pPr>
        <w:pStyle w:val="ab"/>
        <w:rPr>
          <w:rFonts w:ascii="Times New Roman" w:hAnsi="Times New Roman" w:cs="Times New Roman"/>
          <w:sz w:val="18"/>
          <w:szCs w:val="18"/>
        </w:rPr>
      </w:pPr>
      <w:r w:rsidRPr="00271630">
        <w:rPr>
          <w:rStyle w:val="ac"/>
          <w:rFonts w:ascii="Times New Roman" w:hAnsi="Times New Roman" w:cs="Times New Roman"/>
        </w:rPr>
        <w:footnoteRef/>
      </w:r>
      <w:r w:rsidRPr="00271630">
        <w:rPr>
          <w:rFonts w:ascii="Times New Roman" w:hAnsi="Times New Roman" w:cs="Times New Roman"/>
          <w:sz w:val="18"/>
          <w:szCs w:val="18"/>
        </w:rPr>
        <w:t xml:space="preserve"> We remove the observations in Compustat NA that are also in Compustat Global to avoid double counting. One possible reason that some international</w:t>
      </w:r>
      <w:r w:rsidRPr="00667DCA">
        <w:rPr>
          <w:rFonts w:ascii="Times New Roman" w:hAnsi="Times New Roman" w:cs="Times New Roman"/>
          <w:sz w:val="18"/>
          <w:szCs w:val="18"/>
        </w:rPr>
        <w:t xml:space="preserve"> companies are present in Compustat NA is perhaps that they adopt </w:t>
      </w:r>
      <w:r>
        <w:rPr>
          <w:rFonts w:ascii="Times New Roman" w:hAnsi="Times New Roman" w:cs="Times New Roman"/>
          <w:sz w:val="18"/>
          <w:szCs w:val="18"/>
        </w:rPr>
        <w:t xml:space="preserve">the </w:t>
      </w:r>
      <w:r w:rsidRPr="00667DCA">
        <w:rPr>
          <w:rFonts w:ascii="Times New Roman" w:hAnsi="Times New Roman" w:cs="Times New Roman"/>
          <w:sz w:val="18"/>
          <w:szCs w:val="18"/>
        </w:rPr>
        <w:t>U</w:t>
      </w:r>
      <w:r>
        <w:rPr>
          <w:rFonts w:ascii="Times New Roman" w:hAnsi="Times New Roman" w:cs="Times New Roman"/>
          <w:sz w:val="18"/>
          <w:szCs w:val="18"/>
        </w:rPr>
        <w:t>.</w:t>
      </w:r>
      <w:r w:rsidRPr="00667DCA">
        <w:rPr>
          <w:rFonts w:ascii="Times New Roman" w:hAnsi="Times New Roman" w:cs="Times New Roman"/>
          <w:sz w:val="18"/>
          <w:szCs w:val="18"/>
        </w:rPr>
        <w:t>S</w:t>
      </w:r>
      <w:r>
        <w:rPr>
          <w:rFonts w:ascii="Times New Roman" w:hAnsi="Times New Roman" w:cs="Times New Roman"/>
          <w:sz w:val="18"/>
          <w:szCs w:val="18"/>
        </w:rPr>
        <w:t>.</w:t>
      </w:r>
      <w:r w:rsidRPr="00667DCA">
        <w:rPr>
          <w:rFonts w:ascii="Times New Roman" w:hAnsi="Times New Roman" w:cs="Times New Roman"/>
          <w:sz w:val="18"/>
          <w:szCs w:val="18"/>
        </w:rPr>
        <w:t xml:space="preserve"> </w:t>
      </w:r>
      <w:r>
        <w:rPr>
          <w:rFonts w:ascii="Times New Roman" w:hAnsi="Times New Roman" w:cs="Times New Roman"/>
          <w:sz w:val="18"/>
          <w:szCs w:val="18"/>
        </w:rPr>
        <w:t>d</w:t>
      </w:r>
      <w:r w:rsidRPr="00667DCA">
        <w:rPr>
          <w:rFonts w:ascii="Times New Roman" w:hAnsi="Times New Roman" w:cs="Times New Roman"/>
          <w:sz w:val="18"/>
          <w:szCs w:val="18"/>
        </w:rPr>
        <w:t>ollar as their currency.</w:t>
      </w:r>
    </w:p>
  </w:footnote>
  <w:footnote w:id="5">
    <w:p w:rsidR="00F66B3C" w:rsidRPr="00271630" w:rsidRDefault="00F66B3C" w:rsidP="00821BD4">
      <w:pPr>
        <w:pStyle w:val="ab"/>
        <w:rPr>
          <w:rFonts w:ascii="Times New Roman" w:hAnsi="Times New Roman" w:cs="Times New Roman"/>
          <w:sz w:val="18"/>
          <w:szCs w:val="18"/>
        </w:rPr>
      </w:pPr>
      <w:r w:rsidRPr="00271630">
        <w:rPr>
          <w:rStyle w:val="ac"/>
          <w:rFonts w:ascii="Times New Roman" w:hAnsi="Times New Roman" w:cs="Times New Roman"/>
        </w:rPr>
        <w:footnoteRef/>
      </w:r>
      <w:r w:rsidRPr="00271630">
        <w:rPr>
          <w:rFonts w:ascii="Times New Roman" w:hAnsi="Times New Roman" w:cs="Times New Roman"/>
          <w:sz w:val="18"/>
          <w:szCs w:val="18"/>
        </w:rPr>
        <w:t xml:space="preserve"> For example, Japan is not included in our sample because most of the Japanese firms report their accounting data semi-annually but not quarterly.</w:t>
      </w:r>
    </w:p>
  </w:footnote>
  <w:footnote w:id="6">
    <w:p w:rsidR="00F66B3C" w:rsidRPr="00271630" w:rsidRDefault="00F66B3C" w:rsidP="00821BD4">
      <w:pPr>
        <w:pStyle w:val="ab"/>
        <w:rPr>
          <w:rFonts w:ascii="Times New Roman" w:hAnsi="Times New Roman" w:cs="Times New Roman"/>
          <w:sz w:val="18"/>
          <w:szCs w:val="18"/>
        </w:rPr>
      </w:pPr>
      <w:r w:rsidRPr="00271630">
        <w:rPr>
          <w:rStyle w:val="ac"/>
          <w:rFonts w:ascii="Times New Roman" w:hAnsi="Times New Roman" w:cs="Times New Roman"/>
        </w:rPr>
        <w:footnoteRef/>
      </w:r>
      <w:r w:rsidRPr="00271630">
        <w:rPr>
          <w:rFonts w:ascii="Times New Roman" w:hAnsi="Times New Roman" w:cs="Times New Roman"/>
          <w:sz w:val="18"/>
          <w:szCs w:val="18"/>
        </w:rPr>
        <w:t xml:space="preserve"> We also use the North American Industry Classification System (NAICS) as an additional filter, and exclude firms operating in industries with NAICS starting with 22, 52, or 92.</w:t>
      </w:r>
    </w:p>
  </w:footnote>
  <w:footnote w:id="7">
    <w:p w:rsidR="00F66B3C" w:rsidRPr="00271630" w:rsidRDefault="00F66B3C" w:rsidP="00821BD4">
      <w:pPr>
        <w:pStyle w:val="ab"/>
        <w:rPr>
          <w:rFonts w:ascii="Times New Roman" w:hAnsi="Times New Roman" w:cs="Times New Roman"/>
          <w:sz w:val="18"/>
          <w:szCs w:val="18"/>
        </w:rPr>
      </w:pPr>
      <w:r w:rsidRPr="00271630">
        <w:rPr>
          <w:rStyle w:val="ac"/>
          <w:rFonts w:ascii="Times New Roman" w:hAnsi="Times New Roman" w:cs="Times New Roman"/>
        </w:rPr>
        <w:footnoteRef/>
      </w:r>
      <w:r w:rsidRPr="00271630">
        <w:rPr>
          <w:rFonts w:ascii="Times New Roman" w:hAnsi="Times New Roman" w:cs="Times New Roman"/>
          <w:sz w:val="18"/>
          <w:szCs w:val="18"/>
        </w:rPr>
        <w:t xml:space="preserve"> Observations are deleted if one or more of the common firm-level variables in later regressions are missing. Following the investment literature, e.g. </w:t>
      </w:r>
      <w:r w:rsidRPr="00271630">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 "citationItems" : [ { "id" : "ITEM-1", "itemData" : { "DOI" : "10.1093/rfs/hhq058", "ISSN" : "08939454", "abstract" : "We use Monte Carlo simulations and real data to assess the performance of methods deal- ing with measurement error in investment equations. Our experiments show that fixed ef- fects, error heteroscedasticity, and data skewness severely affect the performance and reli- ability of methods found in the literature. Estimators that use higher-order moments return biased coefficients for (both) mismeasured and perfectly measured regressors. These esti- mators are also very inefficient. Instrumental-variable-type estimators are more robust and efficient, although they require restrictive assumptions.We estimate empirical investment models using alternative methods. Real-world investment data contain firm-fixed effects and heteroscedasticity, causing high-order moments estimators to deliver coefficients that are unstable and not economically meaningful. Instrumental variables methods yield es- timates that are robust and conform to theoretical priors. Our analysis provides guidance for dealing with measurement errors under circumstances researchers are likely to find in practice.", "author" : [ { "dropping-particle" : "", "family" : "Almeida", "given" : "Heitor", "non-dropping-particle" : "", "parse-names" : false, "suffix" : "" }, { "dropping-particle" : "", "family" : "Campello", "given" : "Murillo", "non-dropping-particle" : "", "parse-names" : false, "suffix" : "" }, { "dropping-particle" : "", "family" : "Galvao", "given" : "Antonio F.", "non-dropping-particle" : "", "parse-names" : false, "suffix" : "" } ], "container-title" : "Review of Financial Studies", "id" : "ITEM-1", "issue" : "217", "issued" : { "date-parts" : [ [ "2010" ] ] }, "page" : "3279-3328", "title" : "Measurement errors in investment equations", "type" : "article-journal", "volume" : "23" }, "uris" : [ "http://www.mendeley.com/documents/?uuid=431a44dd-5f57-48ed-b02f-679b0e720e70" ] } ], "mendeley" : { "formattedCitation" : "Almeida, Campello, and Galvao (2010)", "plainTextFormattedCitation" : "Almeida, Campello, and Galvao (2010)", "previouslyFormattedCitation" : "Almeida, Campello, and Galvao (2010)" }, "properties" : { "noteIndex" : 0 }, "schema" : "https://github.com/citation-style-language/schema/raw/master/csl-citation.json" }</w:instrText>
      </w:r>
      <w:r w:rsidRPr="00271630">
        <w:rPr>
          <w:rFonts w:ascii="Times New Roman" w:hAnsi="Times New Roman" w:cs="Times New Roman"/>
          <w:sz w:val="18"/>
          <w:szCs w:val="18"/>
        </w:rPr>
        <w:fldChar w:fldCharType="separate"/>
      </w:r>
      <w:r w:rsidRPr="00271630">
        <w:rPr>
          <w:rFonts w:ascii="Times New Roman" w:hAnsi="Times New Roman" w:cs="Times New Roman"/>
          <w:noProof/>
          <w:sz w:val="18"/>
          <w:szCs w:val="18"/>
        </w:rPr>
        <w:t>Almeida, Campello, and Galvao (2010)</w:t>
      </w:r>
      <w:r w:rsidRPr="00271630">
        <w:rPr>
          <w:rFonts w:ascii="Times New Roman" w:hAnsi="Times New Roman" w:cs="Times New Roman"/>
          <w:sz w:val="18"/>
          <w:szCs w:val="18"/>
        </w:rPr>
        <w:fldChar w:fldCharType="end"/>
      </w:r>
      <w:r w:rsidRPr="00271630">
        <w:rPr>
          <w:rFonts w:ascii="Times New Roman" w:hAnsi="Times New Roman" w:cs="Times New Roman"/>
          <w:sz w:val="18"/>
          <w:szCs w:val="18"/>
        </w:rPr>
        <w:t>, we consider the following situations extreme or erroneous: market capitalization &lt; $10 million in 2000 US Dollar, CapEx &gt; 10 times assets or &lt; -10 times assets, quarterly asset growth &gt; 100%.</w:t>
      </w:r>
    </w:p>
  </w:footnote>
  <w:footnote w:id="8">
    <w:p w:rsidR="00F66B3C" w:rsidRPr="00271630" w:rsidRDefault="00F66B3C" w:rsidP="00821BD4">
      <w:pPr>
        <w:pStyle w:val="ab"/>
        <w:rPr>
          <w:rFonts w:ascii="Times New Roman" w:hAnsi="Times New Roman" w:cs="Times New Roman"/>
          <w:sz w:val="18"/>
          <w:szCs w:val="18"/>
        </w:rPr>
      </w:pPr>
      <w:r w:rsidRPr="00271630">
        <w:rPr>
          <w:rStyle w:val="ac"/>
          <w:rFonts w:ascii="Times New Roman" w:hAnsi="Times New Roman" w:cs="Times New Roman"/>
        </w:rPr>
        <w:footnoteRef/>
      </w:r>
      <w:r w:rsidRPr="00271630">
        <w:rPr>
          <w:rFonts w:ascii="Times New Roman" w:hAnsi="Times New Roman" w:cs="Times New Roman"/>
          <w:sz w:val="18"/>
          <w:szCs w:val="18"/>
        </w:rPr>
        <w:t xml:space="preserve"> This is to ensure that for each firm in each fiscal year, there is at least one data point in the first three quarters and one in the fourth.</w:t>
      </w:r>
    </w:p>
  </w:footnote>
  <w:footnote w:id="9">
    <w:p w:rsidR="00F66B3C" w:rsidRPr="00667DCA" w:rsidRDefault="00F66B3C" w:rsidP="00821BD4">
      <w:pPr>
        <w:pStyle w:val="ab"/>
        <w:rPr>
          <w:rFonts w:ascii="Times New Roman" w:hAnsi="Times New Roman" w:cs="Times New Roman"/>
          <w:sz w:val="18"/>
          <w:szCs w:val="18"/>
        </w:rPr>
      </w:pPr>
      <w:r w:rsidRPr="00271630">
        <w:rPr>
          <w:rStyle w:val="ac"/>
          <w:rFonts w:ascii="Times New Roman" w:hAnsi="Times New Roman" w:cs="Times New Roman"/>
        </w:rPr>
        <w:footnoteRef/>
      </w:r>
      <w:r w:rsidRPr="00271630">
        <w:rPr>
          <w:rFonts w:ascii="Times New Roman" w:hAnsi="Times New Roman" w:cs="Times New Roman"/>
          <w:sz w:val="18"/>
          <w:szCs w:val="18"/>
        </w:rPr>
        <w:t xml:space="preserve"> A few countries still end up with less than 50 firms (e.g., Egypt) in our final sample due to later data cleaning, but we keep those countries in</w:t>
      </w:r>
      <w:r w:rsidRPr="00B116D6">
        <w:rPr>
          <w:rFonts w:ascii="Times New Roman" w:hAnsi="Times New Roman" w:cs="Times New Roman"/>
          <w:sz w:val="18"/>
          <w:szCs w:val="18"/>
        </w:rPr>
        <w:t xml:space="preserve"> our sample since removing them does not have</w:t>
      </w:r>
      <w:r>
        <w:rPr>
          <w:rFonts w:ascii="Times New Roman" w:hAnsi="Times New Roman" w:cs="Times New Roman"/>
          <w:sz w:val="18"/>
          <w:szCs w:val="18"/>
        </w:rPr>
        <w:t xml:space="preserve"> qualitative</w:t>
      </w:r>
      <w:r w:rsidRPr="00B116D6">
        <w:rPr>
          <w:rFonts w:ascii="Times New Roman" w:hAnsi="Times New Roman" w:cs="Times New Roman"/>
          <w:sz w:val="18"/>
          <w:szCs w:val="18"/>
        </w:rPr>
        <w:t xml:space="preserve"> impact to our results.</w:t>
      </w:r>
    </w:p>
  </w:footnote>
  <w:footnote w:id="10">
    <w:p w:rsidR="00F66B3C" w:rsidRPr="00271630" w:rsidRDefault="00F66B3C" w:rsidP="00821BD4">
      <w:pPr>
        <w:pStyle w:val="ab"/>
        <w:rPr>
          <w:rFonts w:ascii="Times New Roman" w:hAnsi="Times New Roman" w:cs="Times New Roman"/>
          <w:sz w:val="18"/>
          <w:szCs w:val="18"/>
        </w:rPr>
      </w:pPr>
      <w:r w:rsidRPr="00271630">
        <w:rPr>
          <w:rStyle w:val="ac"/>
          <w:rFonts w:ascii="Times New Roman" w:hAnsi="Times New Roman" w:cs="Times New Roman"/>
        </w:rPr>
        <w:footnoteRef/>
      </w:r>
      <w:r w:rsidRPr="00271630">
        <w:rPr>
          <w:rFonts w:ascii="Times New Roman" w:hAnsi="Times New Roman" w:cs="Times New Roman"/>
          <w:sz w:val="18"/>
          <w:szCs w:val="18"/>
        </w:rPr>
        <w:t xml:space="preserve"> We use the number of employees to measure firm size, which is more comparable across countries and is a standard way to measure size in the literature. Unfortunately, as is shown in Table 4 Panel A, employee data is missing in some international firms from Compustat Global.</w:t>
      </w:r>
    </w:p>
  </w:footnote>
  <w:footnote w:id="11">
    <w:p w:rsidR="00F66B3C" w:rsidRPr="00FB0C01" w:rsidRDefault="00F66B3C" w:rsidP="00046BF5">
      <w:pPr>
        <w:pStyle w:val="ab"/>
        <w:rPr>
          <w:rFonts w:ascii="Times New Roman" w:hAnsi="Times New Roman" w:cs="Times New Roman"/>
          <w:sz w:val="18"/>
          <w:szCs w:val="18"/>
        </w:rPr>
      </w:pPr>
      <w:r w:rsidRPr="00271630">
        <w:rPr>
          <w:rStyle w:val="ac"/>
          <w:rFonts w:ascii="Times New Roman" w:hAnsi="Times New Roman" w:cs="Times New Roman"/>
        </w:rPr>
        <w:footnoteRef/>
      </w:r>
      <w:r w:rsidRPr="00271630">
        <w:rPr>
          <w:rFonts w:ascii="Times New Roman" w:hAnsi="Times New Roman" w:cs="Times New Roman"/>
          <w:sz w:val="18"/>
          <w:szCs w:val="18"/>
        </w:rPr>
        <w:t xml:space="preserve"> As is reported</w:t>
      </w:r>
      <w:r w:rsidRPr="00FB0C01">
        <w:rPr>
          <w:rFonts w:ascii="Times New Roman" w:hAnsi="Times New Roman" w:cs="Times New Roman"/>
          <w:sz w:val="18"/>
          <w:szCs w:val="18"/>
        </w:rPr>
        <w:t xml:space="preserve"> in Table 1 Panel A, CapEx has an unconditional mean of 1.30 and median of 0.78.</w:t>
      </w:r>
    </w:p>
  </w:footnote>
  <w:footnote w:id="12">
    <w:p w:rsidR="00F66B3C" w:rsidRPr="00FB0C01" w:rsidRDefault="00F66B3C" w:rsidP="00046BF5">
      <w:pPr>
        <w:pStyle w:val="ab"/>
        <w:rPr>
          <w:rFonts w:ascii="Times New Roman" w:hAnsi="Times New Roman" w:cs="Times New Roman"/>
          <w:sz w:val="18"/>
          <w:szCs w:val="18"/>
        </w:rPr>
      </w:pPr>
      <w:r w:rsidRPr="00271630">
        <w:rPr>
          <w:rStyle w:val="ac"/>
          <w:rFonts w:ascii="Times New Roman" w:hAnsi="Times New Roman" w:cs="Times New Roman"/>
        </w:rPr>
        <w:footnoteRef/>
      </w:r>
      <w:r w:rsidRPr="00271630">
        <w:rPr>
          <w:rFonts w:ascii="Times New Roman" w:hAnsi="Times New Roman" w:cs="Times New Roman"/>
          <w:sz w:val="18"/>
          <w:szCs w:val="18"/>
        </w:rPr>
        <w:t xml:space="preserve"> As is reported in</w:t>
      </w:r>
      <w:r w:rsidRPr="00FB0C01">
        <w:rPr>
          <w:rFonts w:ascii="Times New Roman" w:hAnsi="Times New Roman" w:cs="Times New Roman"/>
          <w:sz w:val="18"/>
          <w:szCs w:val="18"/>
        </w:rPr>
        <w:t xml:space="preserve"> Table 1 Panel </w:t>
      </w:r>
      <w:r>
        <w:rPr>
          <w:rFonts w:ascii="Times New Roman" w:hAnsi="Times New Roman" w:cs="Times New Roman"/>
          <w:sz w:val="18"/>
          <w:szCs w:val="18"/>
        </w:rPr>
        <w:t>B</w:t>
      </w:r>
      <w:r w:rsidRPr="00FB0C01">
        <w:rPr>
          <w:rFonts w:ascii="Times New Roman" w:hAnsi="Times New Roman" w:cs="Times New Roman"/>
          <w:sz w:val="18"/>
          <w:szCs w:val="18"/>
        </w:rPr>
        <w:t xml:space="preserve">, </w:t>
      </w:r>
      <w:r>
        <w:rPr>
          <w:rFonts w:ascii="Times New Roman" w:hAnsi="Times New Roman" w:cs="Times New Roman"/>
          <w:sz w:val="18"/>
          <w:szCs w:val="18"/>
        </w:rPr>
        <w:t>AS has a standard deviation of 0.203</w:t>
      </w:r>
      <w:r w:rsidRPr="00FB0C01">
        <w:rPr>
          <w:rFonts w:ascii="Times New Roman" w:hAnsi="Times New Roman" w:cs="Times New Roman"/>
          <w:sz w:val="18"/>
          <w:szCs w:val="18"/>
        </w:rPr>
        <w:t>.</w:t>
      </w:r>
    </w:p>
  </w:footnote>
  <w:footnote w:id="13">
    <w:p w:rsidR="00F66B3C" w:rsidRPr="00667DCA" w:rsidRDefault="00F66B3C" w:rsidP="00305436">
      <w:pPr>
        <w:pStyle w:val="ab"/>
        <w:rPr>
          <w:rFonts w:ascii="Times New Roman" w:hAnsi="Times New Roman" w:cs="Times New Roman"/>
          <w:sz w:val="18"/>
          <w:szCs w:val="18"/>
        </w:rPr>
      </w:pPr>
      <w:r w:rsidRPr="00271630">
        <w:rPr>
          <w:rStyle w:val="ac"/>
          <w:rFonts w:ascii="Times New Roman" w:hAnsi="Times New Roman" w:cs="Times New Roman"/>
        </w:rPr>
        <w:footnoteRef/>
      </w:r>
      <w:r w:rsidRPr="00271630">
        <w:rPr>
          <w:rFonts w:ascii="Times New Roman" w:hAnsi="Times New Roman" w:cs="Times New Roman"/>
          <w:sz w:val="18"/>
          <w:szCs w:val="18"/>
        </w:rPr>
        <w:t xml:space="preserve"> External financing is measured as CapEx minus funds from operations (fopt). When fopt is missing, it is measured as the sum of the following variables: income before extraordinary items (ibc), depreciation and amortization (dpc), deferred taxes (txdc), equity in net loss/earnings</w:t>
      </w:r>
      <w:r w:rsidRPr="00667DCA">
        <w:rPr>
          <w:rFonts w:ascii="Times New Roman" w:hAnsi="Times New Roman" w:cs="Times New Roman"/>
          <w:sz w:val="18"/>
          <w:szCs w:val="18"/>
        </w:rPr>
        <w:t xml:space="preserve"> (esubc), sale of PP&amp;E (sppiv), and funds from operations – other (fopo).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60D5"/>
    <w:multiLevelType w:val="hybridMultilevel"/>
    <w:tmpl w:val="197AB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3570F7"/>
    <w:multiLevelType w:val="hybridMultilevel"/>
    <w:tmpl w:val="AD2AB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150E5"/>
    <w:multiLevelType w:val="hybridMultilevel"/>
    <w:tmpl w:val="DEC499C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53AEE"/>
    <w:multiLevelType w:val="multilevel"/>
    <w:tmpl w:val="4754E5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13C7DC9"/>
    <w:multiLevelType w:val="hybridMultilevel"/>
    <w:tmpl w:val="E26E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C440B"/>
    <w:multiLevelType w:val="hybridMultilevel"/>
    <w:tmpl w:val="94F06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84306F"/>
    <w:multiLevelType w:val="hybridMultilevel"/>
    <w:tmpl w:val="BBDEB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D4"/>
    <w:rsid w:val="0000764F"/>
    <w:rsid w:val="00012E31"/>
    <w:rsid w:val="0001474F"/>
    <w:rsid w:val="00017A1A"/>
    <w:rsid w:val="000277B2"/>
    <w:rsid w:val="00041097"/>
    <w:rsid w:val="00046BF5"/>
    <w:rsid w:val="00050EF6"/>
    <w:rsid w:val="00050F48"/>
    <w:rsid w:val="000516CE"/>
    <w:rsid w:val="00052135"/>
    <w:rsid w:val="00056731"/>
    <w:rsid w:val="000569ED"/>
    <w:rsid w:val="00061A49"/>
    <w:rsid w:val="000770F9"/>
    <w:rsid w:val="000776B3"/>
    <w:rsid w:val="00082EF9"/>
    <w:rsid w:val="000869F1"/>
    <w:rsid w:val="000905D5"/>
    <w:rsid w:val="000928AC"/>
    <w:rsid w:val="000943BD"/>
    <w:rsid w:val="00094DE6"/>
    <w:rsid w:val="00095096"/>
    <w:rsid w:val="000A2752"/>
    <w:rsid w:val="000A5021"/>
    <w:rsid w:val="000A6AA2"/>
    <w:rsid w:val="000B3C72"/>
    <w:rsid w:val="000C13D1"/>
    <w:rsid w:val="000C30F3"/>
    <w:rsid w:val="000D05E6"/>
    <w:rsid w:val="000D4724"/>
    <w:rsid w:val="000D50EE"/>
    <w:rsid w:val="000D5B92"/>
    <w:rsid w:val="000E266E"/>
    <w:rsid w:val="000E4230"/>
    <w:rsid w:val="000F5436"/>
    <w:rsid w:val="000F57D6"/>
    <w:rsid w:val="000F68DA"/>
    <w:rsid w:val="000F7132"/>
    <w:rsid w:val="00110860"/>
    <w:rsid w:val="00110AFB"/>
    <w:rsid w:val="00115919"/>
    <w:rsid w:val="001209C2"/>
    <w:rsid w:val="00122B94"/>
    <w:rsid w:val="001240E4"/>
    <w:rsid w:val="00130BF5"/>
    <w:rsid w:val="00133975"/>
    <w:rsid w:val="001366A8"/>
    <w:rsid w:val="00137B08"/>
    <w:rsid w:val="00141388"/>
    <w:rsid w:val="001458D8"/>
    <w:rsid w:val="00145E63"/>
    <w:rsid w:val="0015717F"/>
    <w:rsid w:val="0017326C"/>
    <w:rsid w:val="00175D09"/>
    <w:rsid w:val="0018386F"/>
    <w:rsid w:val="0018557B"/>
    <w:rsid w:val="001871E9"/>
    <w:rsid w:val="00191266"/>
    <w:rsid w:val="00193C77"/>
    <w:rsid w:val="001A25DF"/>
    <w:rsid w:val="001A5329"/>
    <w:rsid w:val="001A76A2"/>
    <w:rsid w:val="001B3F63"/>
    <w:rsid w:val="001D0229"/>
    <w:rsid w:val="001E5D79"/>
    <w:rsid w:val="001F39AA"/>
    <w:rsid w:val="00204BF1"/>
    <w:rsid w:val="0021230D"/>
    <w:rsid w:val="00221D72"/>
    <w:rsid w:val="0022236E"/>
    <w:rsid w:val="00222F7C"/>
    <w:rsid w:val="00223B75"/>
    <w:rsid w:val="002242E2"/>
    <w:rsid w:val="002276DB"/>
    <w:rsid w:val="00231F5E"/>
    <w:rsid w:val="00246320"/>
    <w:rsid w:val="002533B0"/>
    <w:rsid w:val="00261674"/>
    <w:rsid w:val="00262D03"/>
    <w:rsid w:val="002632C7"/>
    <w:rsid w:val="00271630"/>
    <w:rsid w:val="0028036E"/>
    <w:rsid w:val="0028272C"/>
    <w:rsid w:val="002831D3"/>
    <w:rsid w:val="00283EA8"/>
    <w:rsid w:val="00287F07"/>
    <w:rsid w:val="00295652"/>
    <w:rsid w:val="002A2C35"/>
    <w:rsid w:val="002A2FA8"/>
    <w:rsid w:val="002A7DE0"/>
    <w:rsid w:val="002B0C4D"/>
    <w:rsid w:val="002B3CB7"/>
    <w:rsid w:val="002C2515"/>
    <w:rsid w:val="002C75DB"/>
    <w:rsid w:val="002C77BC"/>
    <w:rsid w:val="002C7BB1"/>
    <w:rsid w:val="002D0C41"/>
    <w:rsid w:val="002D0D3A"/>
    <w:rsid w:val="002D5FBC"/>
    <w:rsid w:val="002E4AAF"/>
    <w:rsid w:val="002E53BB"/>
    <w:rsid w:val="002E777A"/>
    <w:rsid w:val="0030132F"/>
    <w:rsid w:val="00305436"/>
    <w:rsid w:val="00306FC6"/>
    <w:rsid w:val="0031144D"/>
    <w:rsid w:val="00315CFE"/>
    <w:rsid w:val="00321E85"/>
    <w:rsid w:val="00331BC9"/>
    <w:rsid w:val="00334BDA"/>
    <w:rsid w:val="003377DF"/>
    <w:rsid w:val="00337B95"/>
    <w:rsid w:val="003465DB"/>
    <w:rsid w:val="0035194C"/>
    <w:rsid w:val="0035291F"/>
    <w:rsid w:val="00354D8A"/>
    <w:rsid w:val="00355322"/>
    <w:rsid w:val="0035745F"/>
    <w:rsid w:val="0035769A"/>
    <w:rsid w:val="00362405"/>
    <w:rsid w:val="00367632"/>
    <w:rsid w:val="00375371"/>
    <w:rsid w:val="0038069E"/>
    <w:rsid w:val="00382715"/>
    <w:rsid w:val="003923A2"/>
    <w:rsid w:val="00394D05"/>
    <w:rsid w:val="00397224"/>
    <w:rsid w:val="003A2176"/>
    <w:rsid w:val="003A2D72"/>
    <w:rsid w:val="003A641B"/>
    <w:rsid w:val="003A6A79"/>
    <w:rsid w:val="003A6B4D"/>
    <w:rsid w:val="003A7D27"/>
    <w:rsid w:val="003B16BB"/>
    <w:rsid w:val="003B25C7"/>
    <w:rsid w:val="003B46E1"/>
    <w:rsid w:val="003C0194"/>
    <w:rsid w:val="003C2993"/>
    <w:rsid w:val="003C3BD7"/>
    <w:rsid w:val="003D0CAB"/>
    <w:rsid w:val="003D2808"/>
    <w:rsid w:val="003E5E2E"/>
    <w:rsid w:val="003E6CC0"/>
    <w:rsid w:val="003F0CA6"/>
    <w:rsid w:val="003F2301"/>
    <w:rsid w:val="003F7D8D"/>
    <w:rsid w:val="004000F4"/>
    <w:rsid w:val="004070DA"/>
    <w:rsid w:val="00411685"/>
    <w:rsid w:val="00412335"/>
    <w:rsid w:val="00420055"/>
    <w:rsid w:val="004201F7"/>
    <w:rsid w:val="00424F51"/>
    <w:rsid w:val="0042770C"/>
    <w:rsid w:val="00427C51"/>
    <w:rsid w:val="00432516"/>
    <w:rsid w:val="004331BB"/>
    <w:rsid w:val="00440F16"/>
    <w:rsid w:val="00443CDA"/>
    <w:rsid w:val="00444FC8"/>
    <w:rsid w:val="0044539A"/>
    <w:rsid w:val="00452779"/>
    <w:rsid w:val="00454A7C"/>
    <w:rsid w:val="00455BF8"/>
    <w:rsid w:val="00456487"/>
    <w:rsid w:val="00456AAF"/>
    <w:rsid w:val="00464A04"/>
    <w:rsid w:val="00467F8F"/>
    <w:rsid w:val="00471BA3"/>
    <w:rsid w:val="004761F5"/>
    <w:rsid w:val="00490F96"/>
    <w:rsid w:val="00491524"/>
    <w:rsid w:val="004A27B0"/>
    <w:rsid w:val="004B4B30"/>
    <w:rsid w:val="004B4DC4"/>
    <w:rsid w:val="004C4BC0"/>
    <w:rsid w:val="004C79A0"/>
    <w:rsid w:val="004D0A80"/>
    <w:rsid w:val="004D5683"/>
    <w:rsid w:val="004D6006"/>
    <w:rsid w:val="004D67EC"/>
    <w:rsid w:val="004D7213"/>
    <w:rsid w:val="004E153B"/>
    <w:rsid w:val="004E2208"/>
    <w:rsid w:val="004E29AB"/>
    <w:rsid w:val="004E3829"/>
    <w:rsid w:val="004E42E7"/>
    <w:rsid w:val="004E6F88"/>
    <w:rsid w:val="004F4FF3"/>
    <w:rsid w:val="00500AE9"/>
    <w:rsid w:val="00501EB8"/>
    <w:rsid w:val="005071B1"/>
    <w:rsid w:val="0051708C"/>
    <w:rsid w:val="005203CD"/>
    <w:rsid w:val="00521605"/>
    <w:rsid w:val="005219B7"/>
    <w:rsid w:val="00525C6D"/>
    <w:rsid w:val="00525D0D"/>
    <w:rsid w:val="00526653"/>
    <w:rsid w:val="00532BF8"/>
    <w:rsid w:val="00532F34"/>
    <w:rsid w:val="0053468B"/>
    <w:rsid w:val="00535E57"/>
    <w:rsid w:val="00543A8D"/>
    <w:rsid w:val="00546783"/>
    <w:rsid w:val="00552592"/>
    <w:rsid w:val="00560E61"/>
    <w:rsid w:val="00567861"/>
    <w:rsid w:val="00570151"/>
    <w:rsid w:val="005706AE"/>
    <w:rsid w:val="00572912"/>
    <w:rsid w:val="0057586C"/>
    <w:rsid w:val="0058398B"/>
    <w:rsid w:val="005848B4"/>
    <w:rsid w:val="0059448B"/>
    <w:rsid w:val="005A0037"/>
    <w:rsid w:val="005A07A2"/>
    <w:rsid w:val="005A5576"/>
    <w:rsid w:val="005A58AF"/>
    <w:rsid w:val="005A7BED"/>
    <w:rsid w:val="005B28EF"/>
    <w:rsid w:val="005B3670"/>
    <w:rsid w:val="005B5761"/>
    <w:rsid w:val="005B6BA7"/>
    <w:rsid w:val="005B6E0B"/>
    <w:rsid w:val="005B77BC"/>
    <w:rsid w:val="005C0461"/>
    <w:rsid w:val="005C31F8"/>
    <w:rsid w:val="005C6339"/>
    <w:rsid w:val="005D5773"/>
    <w:rsid w:val="005D74FF"/>
    <w:rsid w:val="005D761A"/>
    <w:rsid w:val="005E0539"/>
    <w:rsid w:val="005E2C6C"/>
    <w:rsid w:val="005E4E1E"/>
    <w:rsid w:val="005F2845"/>
    <w:rsid w:val="005F7F05"/>
    <w:rsid w:val="00602E80"/>
    <w:rsid w:val="006149A3"/>
    <w:rsid w:val="00615F52"/>
    <w:rsid w:val="00621199"/>
    <w:rsid w:val="006269D6"/>
    <w:rsid w:val="006358DF"/>
    <w:rsid w:val="0064116B"/>
    <w:rsid w:val="00650AB2"/>
    <w:rsid w:val="00654408"/>
    <w:rsid w:val="0065537C"/>
    <w:rsid w:val="00656BBD"/>
    <w:rsid w:val="0065797F"/>
    <w:rsid w:val="00657BCD"/>
    <w:rsid w:val="00660B84"/>
    <w:rsid w:val="00660C9E"/>
    <w:rsid w:val="00663A19"/>
    <w:rsid w:val="00664D13"/>
    <w:rsid w:val="00667DCA"/>
    <w:rsid w:val="00667F95"/>
    <w:rsid w:val="00671652"/>
    <w:rsid w:val="00674747"/>
    <w:rsid w:val="00682790"/>
    <w:rsid w:val="00686444"/>
    <w:rsid w:val="00693E90"/>
    <w:rsid w:val="006A20A3"/>
    <w:rsid w:val="006A54E2"/>
    <w:rsid w:val="006B2CB2"/>
    <w:rsid w:val="006E0E62"/>
    <w:rsid w:val="006E1769"/>
    <w:rsid w:val="006E757C"/>
    <w:rsid w:val="006E7689"/>
    <w:rsid w:val="006E797C"/>
    <w:rsid w:val="00702744"/>
    <w:rsid w:val="00703766"/>
    <w:rsid w:val="007049C6"/>
    <w:rsid w:val="00705404"/>
    <w:rsid w:val="00706388"/>
    <w:rsid w:val="00706BD5"/>
    <w:rsid w:val="00713CF4"/>
    <w:rsid w:val="00716912"/>
    <w:rsid w:val="00725D1B"/>
    <w:rsid w:val="007274DB"/>
    <w:rsid w:val="00742EC2"/>
    <w:rsid w:val="00756082"/>
    <w:rsid w:val="00756722"/>
    <w:rsid w:val="007644FE"/>
    <w:rsid w:val="00766A09"/>
    <w:rsid w:val="00770786"/>
    <w:rsid w:val="007723ED"/>
    <w:rsid w:val="007766C2"/>
    <w:rsid w:val="00781FB6"/>
    <w:rsid w:val="0078272A"/>
    <w:rsid w:val="0078447C"/>
    <w:rsid w:val="00785E80"/>
    <w:rsid w:val="00790BE7"/>
    <w:rsid w:val="007918B8"/>
    <w:rsid w:val="007974DF"/>
    <w:rsid w:val="00797D2E"/>
    <w:rsid w:val="007A2324"/>
    <w:rsid w:val="007B1F4F"/>
    <w:rsid w:val="007B6C5F"/>
    <w:rsid w:val="007C0C1C"/>
    <w:rsid w:val="007C63A2"/>
    <w:rsid w:val="007C67F5"/>
    <w:rsid w:val="007D47AF"/>
    <w:rsid w:val="007E131E"/>
    <w:rsid w:val="007E39B5"/>
    <w:rsid w:val="007F15A5"/>
    <w:rsid w:val="007F2F52"/>
    <w:rsid w:val="007F6B7E"/>
    <w:rsid w:val="007F7EFE"/>
    <w:rsid w:val="00812E86"/>
    <w:rsid w:val="00815311"/>
    <w:rsid w:val="00816D28"/>
    <w:rsid w:val="00821BD4"/>
    <w:rsid w:val="00822022"/>
    <w:rsid w:val="00824471"/>
    <w:rsid w:val="00832A0F"/>
    <w:rsid w:val="0084245F"/>
    <w:rsid w:val="00847F7B"/>
    <w:rsid w:val="00850658"/>
    <w:rsid w:val="00852A8E"/>
    <w:rsid w:val="008555A5"/>
    <w:rsid w:val="0085714E"/>
    <w:rsid w:val="008576B4"/>
    <w:rsid w:val="00862A04"/>
    <w:rsid w:val="00877DD5"/>
    <w:rsid w:val="00880CD6"/>
    <w:rsid w:val="008A2729"/>
    <w:rsid w:val="008B00BF"/>
    <w:rsid w:val="008B0A49"/>
    <w:rsid w:val="008B218E"/>
    <w:rsid w:val="008B256E"/>
    <w:rsid w:val="008B4663"/>
    <w:rsid w:val="008B6C6B"/>
    <w:rsid w:val="008C1BD5"/>
    <w:rsid w:val="008C32AE"/>
    <w:rsid w:val="008C455A"/>
    <w:rsid w:val="008D3933"/>
    <w:rsid w:val="008D71BE"/>
    <w:rsid w:val="008E090D"/>
    <w:rsid w:val="008E40E0"/>
    <w:rsid w:val="008E7C7C"/>
    <w:rsid w:val="008F5181"/>
    <w:rsid w:val="008F5D7C"/>
    <w:rsid w:val="008F78C4"/>
    <w:rsid w:val="00906E91"/>
    <w:rsid w:val="0091115D"/>
    <w:rsid w:val="00917157"/>
    <w:rsid w:val="00927572"/>
    <w:rsid w:val="00932DC6"/>
    <w:rsid w:val="00934187"/>
    <w:rsid w:val="009342F6"/>
    <w:rsid w:val="0093481A"/>
    <w:rsid w:val="00934CB9"/>
    <w:rsid w:val="00935AE9"/>
    <w:rsid w:val="0093675F"/>
    <w:rsid w:val="00941FA4"/>
    <w:rsid w:val="00942301"/>
    <w:rsid w:val="00945B3D"/>
    <w:rsid w:val="00945E9E"/>
    <w:rsid w:val="00946C93"/>
    <w:rsid w:val="0096089A"/>
    <w:rsid w:val="0096637B"/>
    <w:rsid w:val="00970C35"/>
    <w:rsid w:val="00981980"/>
    <w:rsid w:val="00981E01"/>
    <w:rsid w:val="0098257D"/>
    <w:rsid w:val="00982F87"/>
    <w:rsid w:val="00983064"/>
    <w:rsid w:val="00983D3F"/>
    <w:rsid w:val="009940C0"/>
    <w:rsid w:val="009A116C"/>
    <w:rsid w:val="009A576D"/>
    <w:rsid w:val="009A584A"/>
    <w:rsid w:val="009A6EBC"/>
    <w:rsid w:val="009B3F41"/>
    <w:rsid w:val="009B6F17"/>
    <w:rsid w:val="009C65AB"/>
    <w:rsid w:val="009D2900"/>
    <w:rsid w:val="009D43A4"/>
    <w:rsid w:val="009D7227"/>
    <w:rsid w:val="009E57DC"/>
    <w:rsid w:val="009F11C1"/>
    <w:rsid w:val="009F200E"/>
    <w:rsid w:val="009F30DB"/>
    <w:rsid w:val="009F6060"/>
    <w:rsid w:val="00A15F65"/>
    <w:rsid w:val="00A201EE"/>
    <w:rsid w:val="00A41B0C"/>
    <w:rsid w:val="00A41B7A"/>
    <w:rsid w:val="00A42484"/>
    <w:rsid w:val="00A468BE"/>
    <w:rsid w:val="00A63B2D"/>
    <w:rsid w:val="00A63F8D"/>
    <w:rsid w:val="00A70CC8"/>
    <w:rsid w:val="00A73388"/>
    <w:rsid w:val="00A85E96"/>
    <w:rsid w:val="00A878DF"/>
    <w:rsid w:val="00A87B9F"/>
    <w:rsid w:val="00A9000E"/>
    <w:rsid w:val="00A908EF"/>
    <w:rsid w:val="00A92D6F"/>
    <w:rsid w:val="00A93D3D"/>
    <w:rsid w:val="00A947DC"/>
    <w:rsid w:val="00A95EB3"/>
    <w:rsid w:val="00A96C52"/>
    <w:rsid w:val="00A97C3A"/>
    <w:rsid w:val="00AA05E7"/>
    <w:rsid w:val="00AA23C0"/>
    <w:rsid w:val="00AA35CC"/>
    <w:rsid w:val="00AA4298"/>
    <w:rsid w:val="00AA59E8"/>
    <w:rsid w:val="00AA7E53"/>
    <w:rsid w:val="00AB5E25"/>
    <w:rsid w:val="00AF1981"/>
    <w:rsid w:val="00AF4C8A"/>
    <w:rsid w:val="00AF727A"/>
    <w:rsid w:val="00AF73E2"/>
    <w:rsid w:val="00B01629"/>
    <w:rsid w:val="00B026A0"/>
    <w:rsid w:val="00B116D6"/>
    <w:rsid w:val="00B16D18"/>
    <w:rsid w:val="00B21E89"/>
    <w:rsid w:val="00B25F30"/>
    <w:rsid w:val="00B27D30"/>
    <w:rsid w:val="00B315BC"/>
    <w:rsid w:val="00B52CB2"/>
    <w:rsid w:val="00B60C5F"/>
    <w:rsid w:val="00B64EEE"/>
    <w:rsid w:val="00B70BDF"/>
    <w:rsid w:val="00B75A8B"/>
    <w:rsid w:val="00B93D70"/>
    <w:rsid w:val="00B94DB9"/>
    <w:rsid w:val="00BA33CD"/>
    <w:rsid w:val="00BA55B1"/>
    <w:rsid w:val="00BA59E6"/>
    <w:rsid w:val="00BB2888"/>
    <w:rsid w:val="00BB5823"/>
    <w:rsid w:val="00BC7206"/>
    <w:rsid w:val="00BD5A7B"/>
    <w:rsid w:val="00BD6ED8"/>
    <w:rsid w:val="00BF1E80"/>
    <w:rsid w:val="00BF7092"/>
    <w:rsid w:val="00BF76E6"/>
    <w:rsid w:val="00C03D20"/>
    <w:rsid w:val="00C16709"/>
    <w:rsid w:val="00C238C2"/>
    <w:rsid w:val="00C34E9A"/>
    <w:rsid w:val="00C35368"/>
    <w:rsid w:val="00C4209A"/>
    <w:rsid w:val="00C42DB2"/>
    <w:rsid w:val="00C42F23"/>
    <w:rsid w:val="00C462AD"/>
    <w:rsid w:val="00C51BD6"/>
    <w:rsid w:val="00C56961"/>
    <w:rsid w:val="00C655A8"/>
    <w:rsid w:val="00C9546C"/>
    <w:rsid w:val="00CA1C10"/>
    <w:rsid w:val="00CA4893"/>
    <w:rsid w:val="00CA5D3C"/>
    <w:rsid w:val="00CA6BA2"/>
    <w:rsid w:val="00CB28DA"/>
    <w:rsid w:val="00CB4029"/>
    <w:rsid w:val="00CC0567"/>
    <w:rsid w:val="00CC153B"/>
    <w:rsid w:val="00CC468D"/>
    <w:rsid w:val="00CC7416"/>
    <w:rsid w:val="00CD1A14"/>
    <w:rsid w:val="00CD26FE"/>
    <w:rsid w:val="00CD2741"/>
    <w:rsid w:val="00CD4C8B"/>
    <w:rsid w:val="00CD52FC"/>
    <w:rsid w:val="00CE221A"/>
    <w:rsid w:val="00CE7407"/>
    <w:rsid w:val="00CF0FF8"/>
    <w:rsid w:val="00CF4AF4"/>
    <w:rsid w:val="00D04343"/>
    <w:rsid w:val="00D0595F"/>
    <w:rsid w:val="00D10721"/>
    <w:rsid w:val="00D1279D"/>
    <w:rsid w:val="00D2360C"/>
    <w:rsid w:val="00D27556"/>
    <w:rsid w:val="00D276D2"/>
    <w:rsid w:val="00D27A57"/>
    <w:rsid w:val="00D4773C"/>
    <w:rsid w:val="00D54B96"/>
    <w:rsid w:val="00D54FF1"/>
    <w:rsid w:val="00D745F9"/>
    <w:rsid w:val="00D75D64"/>
    <w:rsid w:val="00D75D6B"/>
    <w:rsid w:val="00D81485"/>
    <w:rsid w:val="00D86D66"/>
    <w:rsid w:val="00D87E41"/>
    <w:rsid w:val="00D927F9"/>
    <w:rsid w:val="00DA525B"/>
    <w:rsid w:val="00DB26B2"/>
    <w:rsid w:val="00DB4879"/>
    <w:rsid w:val="00DC080A"/>
    <w:rsid w:val="00DC0F12"/>
    <w:rsid w:val="00DC6A6A"/>
    <w:rsid w:val="00DD4993"/>
    <w:rsid w:val="00DE5BF1"/>
    <w:rsid w:val="00DE7234"/>
    <w:rsid w:val="00E01517"/>
    <w:rsid w:val="00E01524"/>
    <w:rsid w:val="00E03315"/>
    <w:rsid w:val="00E04826"/>
    <w:rsid w:val="00E07AF8"/>
    <w:rsid w:val="00E122BF"/>
    <w:rsid w:val="00E13B3E"/>
    <w:rsid w:val="00E24B3C"/>
    <w:rsid w:val="00E35D70"/>
    <w:rsid w:val="00E35FCE"/>
    <w:rsid w:val="00E37F2A"/>
    <w:rsid w:val="00E463C7"/>
    <w:rsid w:val="00E507A3"/>
    <w:rsid w:val="00E52377"/>
    <w:rsid w:val="00E530A7"/>
    <w:rsid w:val="00E531C1"/>
    <w:rsid w:val="00E56908"/>
    <w:rsid w:val="00E5749B"/>
    <w:rsid w:val="00E57761"/>
    <w:rsid w:val="00E61119"/>
    <w:rsid w:val="00E632FC"/>
    <w:rsid w:val="00E65E90"/>
    <w:rsid w:val="00E70D15"/>
    <w:rsid w:val="00E714E0"/>
    <w:rsid w:val="00E80581"/>
    <w:rsid w:val="00E8353F"/>
    <w:rsid w:val="00E85655"/>
    <w:rsid w:val="00E91AED"/>
    <w:rsid w:val="00E94620"/>
    <w:rsid w:val="00EA4265"/>
    <w:rsid w:val="00EA4DB4"/>
    <w:rsid w:val="00EA7838"/>
    <w:rsid w:val="00EB288A"/>
    <w:rsid w:val="00EB515C"/>
    <w:rsid w:val="00EB5EBF"/>
    <w:rsid w:val="00EB65CB"/>
    <w:rsid w:val="00EC7578"/>
    <w:rsid w:val="00EC7FD4"/>
    <w:rsid w:val="00ED3FFD"/>
    <w:rsid w:val="00ED5C44"/>
    <w:rsid w:val="00EE5DEC"/>
    <w:rsid w:val="00EE6362"/>
    <w:rsid w:val="00EF1206"/>
    <w:rsid w:val="00F004AD"/>
    <w:rsid w:val="00F108B5"/>
    <w:rsid w:val="00F1283A"/>
    <w:rsid w:val="00F14406"/>
    <w:rsid w:val="00F25657"/>
    <w:rsid w:val="00F260B5"/>
    <w:rsid w:val="00F27DF1"/>
    <w:rsid w:val="00F33A35"/>
    <w:rsid w:val="00F354AB"/>
    <w:rsid w:val="00F47065"/>
    <w:rsid w:val="00F47AA0"/>
    <w:rsid w:val="00F50332"/>
    <w:rsid w:val="00F516E3"/>
    <w:rsid w:val="00F52739"/>
    <w:rsid w:val="00F53C8D"/>
    <w:rsid w:val="00F566FE"/>
    <w:rsid w:val="00F60745"/>
    <w:rsid w:val="00F628E3"/>
    <w:rsid w:val="00F62A80"/>
    <w:rsid w:val="00F66B3C"/>
    <w:rsid w:val="00F67421"/>
    <w:rsid w:val="00F70E38"/>
    <w:rsid w:val="00F80A13"/>
    <w:rsid w:val="00F85A3D"/>
    <w:rsid w:val="00F9162A"/>
    <w:rsid w:val="00F91647"/>
    <w:rsid w:val="00F9761B"/>
    <w:rsid w:val="00FB0C01"/>
    <w:rsid w:val="00FB27E3"/>
    <w:rsid w:val="00FB2A22"/>
    <w:rsid w:val="00FB4854"/>
    <w:rsid w:val="00FB55ED"/>
    <w:rsid w:val="00FB7446"/>
    <w:rsid w:val="00FC09AE"/>
    <w:rsid w:val="00FC1C66"/>
    <w:rsid w:val="00FC48A6"/>
    <w:rsid w:val="00FD02EE"/>
    <w:rsid w:val="00FD1B7E"/>
    <w:rsid w:val="00FD71C5"/>
    <w:rsid w:val="00FE22CC"/>
    <w:rsid w:val="00FF5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DD0C2-D5D7-44AB-BB5F-2D99926C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BD4"/>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1BD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821BD4"/>
    <w:pPr>
      <w:spacing w:after="0" w:line="240" w:lineRule="auto"/>
    </w:pPr>
    <w:rPr>
      <w:rFonts w:ascii="Tahoma" w:hAnsi="Tahoma" w:cs="Tahoma"/>
      <w:sz w:val="16"/>
      <w:szCs w:val="16"/>
    </w:rPr>
  </w:style>
  <w:style w:type="character" w:customStyle="1" w:styleId="Char">
    <w:name w:val="풍선 도움말 텍스트 Char"/>
    <w:basedOn w:val="a0"/>
    <w:link w:val="a4"/>
    <w:uiPriority w:val="99"/>
    <w:semiHidden/>
    <w:rsid w:val="00821BD4"/>
    <w:rPr>
      <w:rFonts w:ascii="Tahoma" w:hAnsi="Tahoma" w:cs="Tahoma"/>
      <w:sz w:val="16"/>
      <w:szCs w:val="16"/>
    </w:rPr>
  </w:style>
  <w:style w:type="paragraph" w:styleId="a5">
    <w:name w:val="header"/>
    <w:basedOn w:val="a"/>
    <w:link w:val="Char0"/>
    <w:uiPriority w:val="99"/>
    <w:unhideWhenUsed/>
    <w:rsid w:val="00821BD4"/>
    <w:pPr>
      <w:tabs>
        <w:tab w:val="center" w:pos="4320"/>
        <w:tab w:val="right" w:pos="8640"/>
      </w:tabs>
      <w:spacing w:after="0" w:line="240" w:lineRule="auto"/>
    </w:pPr>
  </w:style>
  <w:style w:type="character" w:customStyle="1" w:styleId="Char0">
    <w:name w:val="머리글 Char"/>
    <w:basedOn w:val="a0"/>
    <w:link w:val="a5"/>
    <w:uiPriority w:val="99"/>
    <w:rsid w:val="00821BD4"/>
    <w:rPr>
      <w:rFonts w:asciiTheme="minorHAnsi" w:hAnsiTheme="minorHAnsi" w:cstheme="minorBidi"/>
    </w:rPr>
  </w:style>
  <w:style w:type="paragraph" w:styleId="a6">
    <w:name w:val="footer"/>
    <w:basedOn w:val="a"/>
    <w:link w:val="Char1"/>
    <w:uiPriority w:val="99"/>
    <w:unhideWhenUsed/>
    <w:rsid w:val="00821BD4"/>
    <w:pPr>
      <w:tabs>
        <w:tab w:val="center" w:pos="4320"/>
        <w:tab w:val="right" w:pos="8640"/>
      </w:tabs>
      <w:spacing w:after="0" w:line="240" w:lineRule="auto"/>
    </w:pPr>
  </w:style>
  <w:style w:type="character" w:customStyle="1" w:styleId="Char1">
    <w:name w:val="바닥글 Char"/>
    <w:basedOn w:val="a0"/>
    <w:link w:val="a6"/>
    <w:uiPriority w:val="99"/>
    <w:rsid w:val="00821BD4"/>
    <w:rPr>
      <w:rFonts w:asciiTheme="minorHAnsi" w:hAnsiTheme="minorHAnsi" w:cstheme="minorBidi"/>
    </w:rPr>
  </w:style>
  <w:style w:type="character" w:styleId="a7">
    <w:name w:val="Placeholder Text"/>
    <w:basedOn w:val="a0"/>
    <w:uiPriority w:val="99"/>
    <w:semiHidden/>
    <w:rsid w:val="00821BD4"/>
    <w:rPr>
      <w:color w:val="808080"/>
    </w:rPr>
  </w:style>
  <w:style w:type="paragraph" w:styleId="a8">
    <w:name w:val="List Paragraph"/>
    <w:basedOn w:val="a"/>
    <w:uiPriority w:val="34"/>
    <w:qFormat/>
    <w:rsid w:val="00821BD4"/>
    <w:pPr>
      <w:ind w:left="720"/>
      <w:contextualSpacing/>
    </w:pPr>
  </w:style>
  <w:style w:type="paragraph" w:styleId="a9">
    <w:name w:val="endnote text"/>
    <w:basedOn w:val="a"/>
    <w:link w:val="Char2"/>
    <w:uiPriority w:val="99"/>
    <w:semiHidden/>
    <w:unhideWhenUsed/>
    <w:rsid w:val="00821BD4"/>
    <w:pPr>
      <w:spacing w:after="0" w:line="240" w:lineRule="auto"/>
    </w:pPr>
    <w:rPr>
      <w:sz w:val="20"/>
      <w:szCs w:val="20"/>
    </w:rPr>
  </w:style>
  <w:style w:type="character" w:customStyle="1" w:styleId="Char2">
    <w:name w:val="미주 텍스트 Char"/>
    <w:basedOn w:val="a0"/>
    <w:link w:val="a9"/>
    <w:uiPriority w:val="99"/>
    <w:semiHidden/>
    <w:rsid w:val="00821BD4"/>
    <w:rPr>
      <w:rFonts w:asciiTheme="minorHAnsi" w:hAnsiTheme="minorHAnsi" w:cstheme="minorBidi"/>
      <w:sz w:val="20"/>
      <w:szCs w:val="20"/>
    </w:rPr>
  </w:style>
  <w:style w:type="character" w:styleId="aa">
    <w:name w:val="endnote reference"/>
    <w:basedOn w:val="a0"/>
    <w:uiPriority w:val="99"/>
    <w:semiHidden/>
    <w:unhideWhenUsed/>
    <w:rsid w:val="00821BD4"/>
    <w:rPr>
      <w:vertAlign w:val="superscript"/>
    </w:rPr>
  </w:style>
  <w:style w:type="paragraph" w:styleId="ab">
    <w:name w:val="footnote text"/>
    <w:basedOn w:val="a"/>
    <w:link w:val="Char3"/>
    <w:uiPriority w:val="99"/>
    <w:unhideWhenUsed/>
    <w:rsid w:val="00821BD4"/>
    <w:pPr>
      <w:spacing w:after="0" w:line="240" w:lineRule="auto"/>
    </w:pPr>
    <w:rPr>
      <w:sz w:val="20"/>
      <w:szCs w:val="20"/>
    </w:rPr>
  </w:style>
  <w:style w:type="character" w:customStyle="1" w:styleId="Char3">
    <w:name w:val="각주 텍스트 Char"/>
    <w:basedOn w:val="a0"/>
    <w:link w:val="ab"/>
    <w:uiPriority w:val="99"/>
    <w:rsid w:val="00821BD4"/>
    <w:rPr>
      <w:rFonts w:asciiTheme="minorHAnsi" w:hAnsiTheme="minorHAnsi" w:cstheme="minorBidi"/>
      <w:sz w:val="20"/>
      <w:szCs w:val="20"/>
    </w:rPr>
  </w:style>
  <w:style w:type="character" w:styleId="ac">
    <w:name w:val="footnote reference"/>
    <w:basedOn w:val="a0"/>
    <w:uiPriority w:val="99"/>
    <w:semiHidden/>
    <w:unhideWhenUsed/>
    <w:rsid w:val="00821BD4"/>
    <w:rPr>
      <w:vertAlign w:val="superscript"/>
    </w:rPr>
  </w:style>
  <w:style w:type="character" w:styleId="ad">
    <w:name w:val="Hyperlink"/>
    <w:basedOn w:val="a0"/>
    <w:uiPriority w:val="99"/>
    <w:unhideWhenUsed/>
    <w:rsid w:val="00821BD4"/>
    <w:rPr>
      <w:color w:val="0000FF" w:themeColor="hyperlink"/>
      <w:u w:val="single"/>
    </w:rPr>
  </w:style>
  <w:style w:type="paragraph" w:styleId="ae">
    <w:name w:val="Revision"/>
    <w:hidden/>
    <w:uiPriority w:val="99"/>
    <w:semiHidden/>
    <w:rsid w:val="00821BD4"/>
    <w:pPr>
      <w:spacing w:after="0" w:line="240" w:lineRule="auto"/>
    </w:pPr>
    <w:rPr>
      <w:rFonts w:asciiTheme="minorHAnsi" w:hAnsiTheme="minorHAnsi" w:cstheme="minorBidi"/>
    </w:rPr>
  </w:style>
  <w:style w:type="character" w:styleId="af">
    <w:name w:val="annotation reference"/>
    <w:basedOn w:val="a0"/>
    <w:uiPriority w:val="99"/>
    <w:semiHidden/>
    <w:unhideWhenUsed/>
    <w:rsid w:val="00821BD4"/>
    <w:rPr>
      <w:sz w:val="16"/>
      <w:szCs w:val="16"/>
    </w:rPr>
  </w:style>
  <w:style w:type="paragraph" w:styleId="af0">
    <w:name w:val="annotation text"/>
    <w:basedOn w:val="a"/>
    <w:link w:val="Char4"/>
    <w:uiPriority w:val="99"/>
    <w:semiHidden/>
    <w:unhideWhenUsed/>
    <w:rsid w:val="00821BD4"/>
    <w:pPr>
      <w:spacing w:line="240" w:lineRule="auto"/>
    </w:pPr>
    <w:rPr>
      <w:sz w:val="20"/>
      <w:szCs w:val="20"/>
    </w:rPr>
  </w:style>
  <w:style w:type="character" w:customStyle="1" w:styleId="Char4">
    <w:name w:val="메모 텍스트 Char"/>
    <w:basedOn w:val="a0"/>
    <w:link w:val="af0"/>
    <w:uiPriority w:val="99"/>
    <w:semiHidden/>
    <w:rsid w:val="00821BD4"/>
    <w:rPr>
      <w:rFonts w:asciiTheme="minorHAnsi" w:hAnsiTheme="minorHAnsi" w:cstheme="minorBidi"/>
      <w:sz w:val="20"/>
      <w:szCs w:val="20"/>
    </w:rPr>
  </w:style>
  <w:style w:type="paragraph" w:styleId="af1">
    <w:name w:val="annotation subject"/>
    <w:basedOn w:val="af0"/>
    <w:next w:val="af0"/>
    <w:link w:val="Char5"/>
    <w:uiPriority w:val="99"/>
    <w:semiHidden/>
    <w:unhideWhenUsed/>
    <w:rsid w:val="00821BD4"/>
    <w:rPr>
      <w:b/>
      <w:bCs/>
    </w:rPr>
  </w:style>
  <w:style w:type="character" w:customStyle="1" w:styleId="Char5">
    <w:name w:val="메모 주제 Char"/>
    <w:basedOn w:val="Char4"/>
    <w:link w:val="af1"/>
    <w:uiPriority w:val="99"/>
    <w:semiHidden/>
    <w:rsid w:val="00821BD4"/>
    <w:rPr>
      <w:rFonts w:asciiTheme="minorHAnsi" w:hAnsiTheme="minorHAnsi" w:cstheme="minorBidi"/>
      <w:b/>
      <w:bCs/>
      <w:sz w:val="20"/>
      <w:szCs w:val="20"/>
    </w:rPr>
  </w:style>
  <w:style w:type="numbering" w:customStyle="1" w:styleId="NoList1">
    <w:name w:val="No List1"/>
    <w:next w:val="a2"/>
    <w:uiPriority w:val="99"/>
    <w:semiHidden/>
    <w:unhideWhenUsed/>
    <w:rsid w:val="00821BD4"/>
  </w:style>
  <w:style w:type="character" w:styleId="af2">
    <w:name w:val="FollowedHyperlink"/>
    <w:basedOn w:val="a0"/>
    <w:uiPriority w:val="99"/>
    <w:semiHidden/>
    <w:unhideWhenUsed/>
    <w:rsid w:val="00821BD4"/>
    <w:rPr>
      <w:color w:val="800080"/>
      <w:u w:val="single"/>
    </w:rPr>
  </w:style>
  <w:style w:type="paragraph" w:customStyle="1" w:styleId="aftercaption">
    <w:name w:val="aftercaption"/>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0"/>
      <w:szCs w:val="20"/>
    </w:rPr>
  </w:style>
  <w:style w:type="paragraph" w:customStyle="1" w:styleId="batch">
    <w:name w:val="batch"/>
    <w:basedOn w:val="a"/>
    <w:rsid w:val="00821BD4"/>
    <w:pPr>
      <w:pBdr>
        <w:top w:val="single" w:sz="6" w:space="5" w:color="C1C1C1"/>
        <w:left w:val="single" w:sz="6" w:space="5" w:color="C1C1C1"/>
        <w:bottom w:val="single" w:sz="6" w:space="5" w:color="C1C1C1"/>
        <w:right w:val="single" w:sz="6" w:space="5" w:color="C1C1C1"/>
      </w:pBdr>
      <w:shd w:val="clear" w:color="auto" w:fill="FAFBFE"/>
      <w:spacing w:before="100" w:beforeAutospacing="1" w:after="100" w:afterAutospacing="1" w:line="240" w:lineRule="auto"/>
    </w:pPr>
    <w:rPr>
      <w:rFonts w:ascii="SAS Monospace" w:eastAsia="Times New Roman" w:hAnsi="SAS Monospace" w:cs="Times New Roman"/>
      <w:color w:val="000000"/>
      <w:sz w:val="20"/>
      <w:szCs w:val="20"/>
    </w:rPr>
  </w:style>
  <w:style w:type="paragraph" w:customStyle="1" w:styleId="beforecaption">
    <w:name w:val="beforecaption"/>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0"/>
      <w:szCs w:val="20"/>
    </w:rPr>
  </w:style>
  <w:style w:type="paragraph" w:customStyle="1" w:styleId="body">
    <w:name w:val="body"/>
    <w:basedOn w:val="a"/>
    <w:rsid w:val="00821BD4"/>
    <w:pPr>
      <w:shd w:val="clear" w:color="auto" w:fill="FAFBFE"/>
      <w:spacing w:before="100" w:beforeAutospacing="1" w:after="100" w:afterAutospacing="1" w:line="240" w:lineRule="auto"/>
      <w:ind w:left="120" w:right="120"/>
    </w:pPr>
    <w:rPr>
      <w:rFonts w:ascii="Arial" w:eastAsia="Times New Roman" w:hAnsi="Arial" w:cs="Arial"/>
      <w:color w:val="000000"/>
      <w:sz w:val="20"/>
      <w:szCs w:val="20"/>
    </w:rPr>
  </w:style>
  <w:style w:type="paragraph" w:customStyle="1" w:styleId="bodydate">
    <w:name w:val="bodydate"/>
    <w:basedOn w:val="a"/>
    <w:rsid w:val="00821BD4"/>
    <w:pPr>
      <w:shd w:val="clear" w:color="auto" w:fill="FAFBFE"/>
      <w:spacing w:before="100" w:beforeAutospacing="1" w:after="100" w:afterAutospacing="1" w:line="240" w:lineRule="auto"/>
      <w:jc w:val="right"/>
      <w:textAlignment w:val="top"/>
    </w:pPr>
    <w:rPr>
      <w:rFonts w:ascii="Arial" w:eastAsia="Times New Roman" w:hAnsi="Arial" w:cs="Arial"/>
      <w:color w:val="000000"/>
      <w:sz w:val="20"/>
      <w:szCs w:val="20"/>
    </w:rPr>
  </w:style>
  <w:style w:type="paragraph" w:customStyle="1" w:styleId="bycontentfolder">
    <w:name w:val="bycontentfolder"/>
    <w:basedOn w:val="a"/>
    <w:rsid w:val="00821BD4"/>
    <w:pPr>
      <w:spacing w:before="100" w:beforeAutospacing="1" w:after="100" w:afterAutospacing="1" w:line="240" w:lineRule="auto"/>
      <w:ind w:left="120"/>
    </w:pPr>
    <w:rPr>
      <w:rFonts w:ascii="Arial" w:eastAsia="Times New Roman" w:hAnsi="Arial" w:cs="Arial"/>
      <w:color w:val="000000"/>
      <w:sz w:val="20"/>
      <w:szCs w:val="20"/>
    </w:rPr>
  </w:style>
  <w:style w:type="paragraph" w:customStyle="1" w:styleId="byline">
    <w:name w:val="byline"/>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0"/>
      <w:szCs w:val="20"/>
    </w:rPr>
  </w:style>
  <w:style w:type="paragraph" w:customStyle="1" w:styleId="bylinecontainer">
    <w:name w:val="bylinecontainer"/>
    <w:basedOn w:val="a"/>
    <w:rsid w:val="00821BD4"/>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Caption1">
    <w:name w:val="Caption1"/>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0"/>
      <w:szCs w:val="20"/>
    </w:rPr>
  </w:style>
  <w:style w:type="paragraph" w:customStyle="1" w:styleId="cell">
    <w:name w:val="cell"/>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container">
    <w:name w:val="container"/>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contentfolder">
    <w:name w:val="contentfolder"/>
    <w:basedOn w:val="a"/>
    <w:rsid w:val="00821BD4"/>
    <w:pPr>
      <w:spacing w:before="100" w:beforeAutospacing="1" w:after="100" w:afterAutospacing="1" w:line="240" w:lineRule="auto"/>
      <w:ind w:left="120"/>
    </w:pPr>
    <w:rPr>
      <w:rFonts w:ascii="Arial" w:eastAsia="Times New Roman" w:hAnsi="Arial" w:cs="Arial"/>
      <w:color w:val="000000"/>
      <w:sz w:val="20"/>
      <w:szCs w:val="20"/>
    </w:rPr>
  </w:style>
  <w:style w:type="paragraph" w:customStyle="1" w:styleId="contentitem">
    <w:name w:val="contentitem"/>
    <w:basedOn w:val="a"/>
    <w:rsid w:val="00821BD4"/>
    <w:pPr>
      <w:spacing w:before="100" w:beforeAutospacing="1" w:after="100" w:afterAutospacing="1" w:line="240" w:lineRule="auto"/>
      <w:ind w:left="120"/>
    </w:pPr>
    <w:rPr>
      <w:rFonts w:ascii="Arial" w:eastAsia="Times New Roman" w:hAnsi="Arial" w:cs="Arial"/>
      <w:color w:val="000000"/>
      <w:sz w:val="20"/>
      <w:szCs w:val="20"/>
    </w:rPr>
  </w:style>
  <w:style w:type="paragraph" w:customStyle="1" w:styleId="contentproclabel">
    <w:name w:val="contentproclabel"/>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0"/>
      <w:szCs w:val="20"/>
    </w:rPr>
  </w:style>
  <w:style w:type="paragraph" w:customStyle="1" w:styleId="contentprocname">
    <w:name w:val="contentprocname"/>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0"/>
      <w:szCs w:val="20"/>
    </w:rPr>
  </w:style>
  <w:style w:type="paragraph" w:customStyle="1" w:styleId="contents">
    <w:name w:val="contents"/>
    <w:basedOn w:val="a"/>
    <w:rsid w:val="00821BD4"/>
    <w:pPr>
      <w:shd w:val="clear" w:color="auto" w:fill="FAFBFE"/>
      <w:spacing w:before="100" w:beforeAutospacing="1" w:after="100" w:afterAutospacing="1" w:line="240" w:lineRule="auto"/>
      <w:ind w:left="120" w:right="120"/>
    </w:pPr>
    <w:rPr>
      <w:rFonts w:ascii="Arial" w:eastAsia="Times New Roman" w:hAnsi="Arial" w:cs="Arial"/>
      <w:color w:val="000000"/>
      <w:sz w:val="20"/>
      <w:szCs w:val="20"/>
    </w:rPr>
  </w:style>
  <w:style w:type="paragraph" w:customStyle="1" w:styleId="contentsdate">
    <w:name w:val="contentsdate"/>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contenttitle">
    <w:name w:val="contenttitle"/>
    <w:basedOn w:val="a"/>
    <w:rsid w:val="00821BD4"/>
    <w:pPr>
      <w:shd w:val="clear" w:color="auto" w:fill="FAFBFE"/>
      <w:spacing w:before="100" w:beforeAutospacing="1" w:after="100" w:afterAutospacing="1" w:line="240" w:lineRule="auto"/>
    </w:pPr>
    <w:rPr>
      <w:rFonts w:ascii="Arial" w:eastAsia="Times New Roman" w:hAnsi="Arial" w:cs="Arial"/>
      <w:b/>
      <w:bCs/>
      <w:i/>
      <w:iCs/>
      <w:color w:val="112277"/>
      <w:sz w:val="20"/>
      <w:szCs w:val="20"/>
    </w:rPr>
  </w:style>
  <w:style w:type="paragraph" w:customStyle="1" w:styleId="continued">
    <w:name w:val="continued"/>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0"/>
      <w:szCs w:val="20"/>
    </w:rPr>
  </w:style>
  <w:style w:type="paragraph" w:customStyle="1" w:styleId="data">
    <w:name w:val="data"/>
    <w:basedOn w:val="a"/>
    <w:rsid w:val="00821BD4"/>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dataemphasis">
    <w:name w:val="dataemphasis"/>
    <w:basedOn w:val="a"/>
    <w:rsid w:val="00821BD4"/>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dataemphasisfixed">
    <w:name w:val="dataemphasisfixed"/>
    <w:basedOn w:val="a"/>
    <w:rsid w:val="00821BD4"/>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line="240" w:lineRule="auto"/>
    </w:pPr>
    <w:rPr>
      <w:rFonts w:ascii="Courier New" w:eastAsia="Times New Roman" w:hAnsi="Courier New" w:cs="Courier New"/>
      <w:i/>
      <w:iCs/>
      <w:sz w:val="20"/>
      <w:szCs w:val="20"/>
    </w:rPr>
  </w:style>
  <w:style w:type="paragraph" w:customStyle="1" w:styleId="dataempty">
    <w:name w:val="dataempty"/>
    <w:basedOn w:val="a"/>
    <w:rsid w:val="00821BD4"/>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datafixed">
    <w:name w:val="datafixed"/>
    <w:basedOn w:val="a"/>
    <w:rsid w:val="00821BD4"/>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line="240" w:lineRule="auto"/>
    </w:pPr>
    <w:rPr>
      <w:rFonts w:ascii="Courier New" w:eastAsia="Times New Roman" w:hAnsi="Courier New" w:cs="Courier New"/>
      <w:sz w:val="20"/>
      <w:szCs w:val="20"/>
    </w:rPr>
  </w:style>
  <w:style w:type="paragraph" w:customStyle="1" w:styleId="datastrong">
    <w:name w:val="datastrong"/>
    <w:basedOn w:val="a"/>
    <w:rsid w:val="00821BD4"/>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line="240" w:lineRule="auto"/>
    </w:pPr>
    <w:rPr>
      <w:rFonts w:ascii="Arial" w:eastAsia="Times New Roman" w:hAnsi="Arial" w:cs="Arial"/>
      <w:b/>
      <w:bCs/>
      <w:color w:val="000000"/>
      <w:sz w:val="20"/>
      <w:szCs w:val="20"/>
    </w:rPr>
  </w:style>
  <w:style w:type="paragraph" w:customStyle="1" w:styleId="datastrongfixed">
    <w:name w:val="datastrongfixed"/>
    <w:basedOn w:val="a"/>
    <w:rsid w:val="00821BD4"/>
    <w:pPr>
      <w:pBdr>
        <w:top w:val="single" w:sz="2" w:space="0" w:color="C1C1C1"/>
        <w:left w:val="single" w:sz="2" w:space="0" w:color="C1C1C1"/>
        <w:bottom w:val="single" w:sz="6" w:space="0" w:color="C1C1C1"/>
        <w:right w:val="single" w:sz="6" w:space="0" w:color="C1C1C1"/>
      </w:pBdr>
      <w:shd w:val="clear" w:color="auto" w:fill="FFFFFF"/>
      <w:spacing w:before="100" w:beforeAutospacing="1" w:after="100" w:afterAutospacing="1" w:line="240" w:lineRule="auto"/>
    </w:pPr>
    <w:rPr>
      <w:rFonts w:ascii="Courier New" w:eastAsia="Times New Roman" w:hAnsi="Courier New" w:cs="Courier New"/>
      <w:b/>
      <w:bCs/>
      <w:color w:val="000000"/>
      <w:sz w:val="20"/>
      <w:szCs w:val="20"/>
    </w:rPr>
  </w:style>
  <w:style w:type="paragraph" w:customStyle="1" w:styleId="Date1">
    <w:name w:val="Date1"/>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document">
    <w:name w:val="document"/>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errorbanner">
    <w:name w:val="errorbanner"/>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0"/>
      <w:szCs w:val="20"/>
    </w:rPr>
  </w:style>
  <w:style w:type="paragraph" w:customStyle="1" w:styleId="errorcontent">
    <w:name w:val="errorcontent"/>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errorcontentfixed">
    <w:name w:val="errorcontentfixed"/>
    <w:basedOn w:val="a"/>
    <w:rsid w:val="00821BD4"/>
    <w:pPr>
      <w:shd w:val="clear" w:color="auto" w:fill="FAFBFE"/>
      <w:spacing w:before="100" w:beforeAutospacing="1" w:after="100" w:afterAutospacing="1" w:line="240" w:lineRule="auto"/>
    </w:pPr>
    <w:rPr>
      <w:rFonts w:ascii="Courier New" w:eastAsia="Times New Roman" w:hAnsi="Courier New" w:cs="Courier New"/>
      <w:color w:val="112277"/>
      <w:sz w:val="20"/>
      <w:szCs w:val="20"/>
    </w:rPr>
  </w:style>
  <w:style w:type="paragraph" w:customStyle="1" w:styleId="extendedpage">
    <w:name w:val="extendedpage"/>
    <w:basedOn w:val="a"/>
    <w:rsid w:val="00821BD4"/>
    <w:pPr>
      <w:pBdr>
        <w:top w:val="single" w:sz="8" w:space="0" w:color="000000"/>
        <w:left w:val="single" w:sz="8" w:space="0" w:color="000000"/>
        <w:bottom w:val="single" w:sz="8" w:space="0" w:color="000000"/>
        <w:right w:val="single" w:sz="8" w:space="0" w:color="000000"/>
      </w:pBdr>
      <w:shd w:val="clear" w:color="auto" w:fill="FAFBFE"/>
      <w:spacing w:before="100" w:beforeAutospacing="1" w:after="100" w:afterAutospacing="1" w:line="240" w:lineRule="auto"/>
      <w:jc w:val="center"/>
    </w:pPr>
    <w:rPr>
      <w:rFonts w:ascii="Arial" w:eastAsia="Times New Roman" w:hAnsi="Arial" w:cs="Arial"/>
      <w:i/>
      <w:iCs/>
      <w:color w:val="112277"/>
      <w:sz w:val="20"/>
      <w:szCs w:val="20"/>
    </w:rPr>
  </w:style>
  <w:style w:type="paragraph" w:customStyle="1" w:styleId="fatalbanner">
    <w:name w:val="fatalbanner"/>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0"/>
      <w:szCs w:val="20"/>
    </w:rPr>
  </w:style>
  <w:style w:type="paragraph" w:customStyle="1" w:styleId="fatalcontent">
    <w:name w:val="fatalcontent"/>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fatalcontentfixed">
    <w:name w:val="fatalcontentfixed"/>
    <w:basedOn w:val="a"/>
    <w:rsid w:val="00821BD4"/>
    <w:pPr>
      <w:shd w:val="clear" w:color="auto" w:fill="FAFBFE"/>
      <w:spacing w:before="100" w:beforeAutospacing="1" w:after="100" w:afterAutospacing="1" w:line="240" w:lineRule="auto"/>
    </w:pPr>
    <w:rPr>
      <w:rFonts w:ascii="Courier New" w:eastAsia="Times New Roman" w:hAnsi="Courier New" w:cs="Courier New"/>
      <w:color w:val="112277"/>
      <w:sz w:val="20"/>
      <w:szCs w:val="20"/>
    </w:rPr>
  </w:style>
  <w:style w:type="paragraph" w:customStyle="1" w:styleId="folderaction">
    <w:name w:val="folderaction"/>
    <w:basedOn w:val="a"/>
    <w:rsid w:val="00821BD4"/>
    <w:pPr>
      <w:spacing w:before="100" w:beforeAutospacing="1" w:after="100" w:afterAutospacing="1" w:line="240" w:lineRule="auto"/>
      <w:ind w:left="120"/>
    </w:pPr>
    <w:rPr>
      <w:rFonts w:ascii="Arial" w:eastAsia="Times New Roman" w:hAnsi="Arial" w:cs="Arial"/>
      <w:color w:val="000000"/>
      <w:sz w:val="20"/>
      <w:szCs w:val="20"/>
    </w:rPr>
  </w:style>
  <w:style w:type="paragraph" w:customStyle="1" w:styleId="Footer1">
    <w:name w:val="Footer1"/>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Arial" w:eastAsia="Times New Roman" w:hAnsi="Arial" w:cs="Arial"/>
      <w:b/>
      <w:bCs/>
      <w:color w:val="112277"/>
      <w:sz w:val="20"/>
      <w:szCs w:val="20"/>
    </w:rPr>
  </w:style>
  <w:style w:type="paragraph" w:customStyle="1" w:styleId="footeremphasis">
    <w:name w:val="footeremphasis"/>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Arial" w:eastAsia="Times New Roman" w:hAnsi="Arial" w:cs="Arial"/>
      <w:i/>
      <w:iCs/>
      <w:color w:val="112277"/>
      <w:sz w:val="20"/>
      <w:szCs w:val="20"/>
    </w:rPr>
  </w:style>
  <w:style w:type="paragraph" w:customStyle="1" w:styleId="footeremphasisfixed">
    <w:name w:val="footeremphasisfixed"/>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Courier New" w:eastAsia="Times New Roman" w:hAnsi="Courier New" w:cs="Courier New"/>
      <w:i/>
      <w:iCs/>
      <w:color w:val="112277"/>
      <w:sz w:val="20"/>
      <w:szCs w:val="20"/>
    </w:rPr>
  </w:style>
  <w:style w:type="paragraph" w:customStyle="1" w:styleId="footerempty">
    <w:name w:val="footerempty"/>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Arial" w:eastAsia="Times New Roman" w:hAnsi="Arial" w:cs="Arial"/>
      <w:b/>
      <w:bCs/>
      <w:color w:val="112277"/>
      <w:sz w:val="20"/>
      <w:szCs w:val="20"/>
    </w:rPr>
  </w:style>
  <w:style w:type="paragraph" w:customStyle="1" w:styleId="footerfixed">
    <w:name w:val="footerfixed"/>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Courier New" w:eastAsia="Times New Roman" w:hAnsi="Courier New" w:cs="Courier New"/>
      <w:color w:val="112277"/>
      <w:sz w:val="20"/>
      <w:szCs w:val="20"/>
    </w:rPr>
  </w:style>
  <w:style w:type="paragraph" w:customStyle="1" w:styleId="footerstrong">
    <w:name w:val="footerstrong"/>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Arial" w:eastAsia="Times New Roman" w:hAnsi="Arial" w:cs="Arial"/>
      <w:b/>
      <w:bCs/>
      <w:color w:val="112277"/>
      <w:sz w:val="20"/>
      <w:szCs w:val="20"/>
    </w:rPr>
  </w:style>
  <w:style w:type="paragraph" w:customStyle="1" w:styleId="footerstrongfixed">
    <w:name w:val="footerstrongfixed"/>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Courier New" w:eastAsia="Times New Roman" w:hAnsi="Courier New" w:cs="Courier New"/>
      <w:b/>
      <w:bCs/>
      <w:color w:val="112277"/>
      <w:sz w:val="20"/>
      <w:szCs w:val="20"/>
    </w:rPr>
  </w:style>
  <w:style w:type="paragraph" w:customStyle="1" w:styleId="frame">
    <w:name w:val="frame"/>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graph">
    <w:name w:val="graph"/>
    <w:basedOn w:val="a"/>
    <w:rsid w:val="00821BD4"/>
    <w:pPr>
      <w:pBdr>
        <w:top w:val="single" w:sz="6" w:space="0" w:color="C1C1C1"/>
        <w:left w:val="single" w:sz="6" w:space="0" w:color="C1C1C1"/>
        <w:bottom w:val="single" w:sz="6" w:space="0" w:color="C1C1C1"/>
        <w:right w:val="single" w:sz="6" w:space="0" w:color="C1C1C1"/>
      </w:pBd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Header1">
    <w:name w:val="Header1"/>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Arial" w:eastAsia="Times New Roman" w:hAnsi="Arial" w:cs="Arial"/>
      <w:b/>
      <w:bCs/>
      <w:color w:val="112277"/>
      <w:sz w:val="20"/>
      <w:szCs w:val="20"/>
    </w:rPr>
  </w:style>
  <w:style w:type="paragraph" w:customStyle="1" w:styleId="headeremphasis">
    <w:name w:val="headeremphasis"/>
    <w:basedOn w:val="a"/>
    <w:rsid w:val="00821BD4"/>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line="240" w:lineRule="auto"/>
    </w:pPr>
    <w:rPr>
      <w:rFonts w:ascii="Arial" w:eastAsia="Times New Roman" w:hAnsi="Arial" w:cs="Arial"/>
      <w:i/>
      <w:iCs/>
      <w:color w:val="000000"/>
      <w:sz w:val="20"/>
      <w:szCs w:val="20"/>
    </w:rPr>
  </w:style>
  <w:style w:type="paragraph" w:customStyle="1" w:styleId="headeremphasisfixed">
    <w:name w:val="headeremphasisfixed"/>
    <w:basedOn w:val="a"/>
    <w:rsid w:val="00821BD4"/>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line="240" w:lineRule="auto"/>
    </w:pPr>
    <w:rPr>
      <w:rFonts w:ascii="Courier New" w:eastAsia="Times New Roman" w:hAnsi="Courier New" w:cs="Courier New"/>
      <w:i/>
      <w:iCs/>
      <w:color w:val="000000"/>
      <w:sz w:val="20"/>
      <w:szCs w:val="20"/>
    </w:rPr>
  </w:style>
  <w:style w:type="paragraph" w:customStyle="1" w:styleId="headerempty">
    <w:name w:val="headerempty"/>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Arial" w:eastAsia="Times New Roman" w:hAnsi="Arial" w:cs="Arial"/>
      <w:b/>
      <w:bCs/>
      <w:color w:val="112277"/>
      <w:sz w:val="20"/>
      <w:szCs w:val="20"/>
    </w:rPr>
  </w:style>
  <w:style w:type="paragraph" w:customStyle="1" w:styleId="headerfixed">
    <w:name w:val="headerfixed"/>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Courier New" w:eastAsia="Times New Roman" w:hAnsi="Courier New" w:cs="Courier New"/>
      <w:color w:val="112277"/>
      <w:sz w:val="20"/>
      <w:szCs w:val="20"/>
    </w:rPr>
  </w:style>
  <w:style w:type="paragraph" w:customStyle="1" w:styleId="headersandfooters">
    <w:name w:val="headersandfooters"/>
    <w:basedOn w:val="a"/>
    <w:rsid w:val="00821BD4"/>
    <w:pPr>
      <w:shd w:val="clear" w:color="auto" w:fill="EDF2F9"/>
      <w:spacing w:before="100" w:beforeAutospacing="1" w:after="100" w:afterAutospacing="1" w:line="240" w:lineRule="auto"/>
    </w:pPr>
    <w:rPr>
      <w:rFonts w:ascii="Arial" w:eastAsia="Times New Roman" w:hAnsi="Arial" w:cs="Arial"/>
      <w:b/>
      <w:bCs/>
      <w:color w:val="000000"/>
      <w:sz w:val="20"/>
      <w:szCs w:val="20"/>
    </w:rPr>
  </w:style>
  <w:style w:type="paragraph" w:customStyle="1" w:styleId="headerstrong">
    <w:name w:val="headerstrong"/>
    <w:basedOn w:val="a"/>
    <w:rsid w:val="00821BD4"/>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line="240" w:lineRule="auto"/>
    </w:pPr>
    <w:rPr>
      <w:rFonts w:ascii="Arial" w:eastAsia="Times New Roman" w:hAnsi="Arial" w:cs="Arial"/>
      <w:b/>
      <w:bCs/>
      <w:color w:val="000000"/>
      <w:sz w:val="20"/>
      <w:szCs w:val="20"/>
    </w:rPr>
  </w:style>
  <w:style w:type="paragraph" w:customStyle="1" w:styleId="headerstrongfixed">
    <w:name w:val="headerstrongfixed"/>
    <w:basedOn w:val="a"/>
    <w:rsid w:val="00821BD4"/>
    <w:pPr>
      <w:pBdr>
        <w:top w:val="single" w:sz="2" w:space="0" w:color="B0B7BB"/>
        <w:left w:val="single" w:sz="2" w:space="0" w:color="B0B7BB"/>
        <w:bottom w:val="single" w:sz="6" w:space="0" w:color="B0B7BB"/>
        <w:right w:val="single" w:sz="6" w:space="0" w:color="B0B7BB"/>
      </w:pBdr>
      <w:shd w:val="clear" w:color="auto" w:fill="D8DBD3"/>
      <w:spacing w:before="100" w:beforeAutospacing="1" w:after="100" w:afterAutospacing="1" w:line="240" w:lineRule="auto"/>
    </w:pPr>
    <w:rPr>
      <w:rFonts w:ascii="Courier New" w:eastAsia="Times New Roman" w:hAnsi="Courier New" w:cs="Courier New"/>
      <w:b/>
      <w:bCs/>
      <w:color w:val="000000"/>
      <w:sz w:val="20"/>
      <w:szCs w:val="20"/>
    </w:rPr>
  </w:style>
  <w:style w:type="paragraph" w:customStyle="1" w:styleId="index">
    <w:name w:val="index"/>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indexaction">
    <w:name w:val="indexaction"/>
    <w:basedOn w:val="a"/>
    <w:rsid w:val="00821BD4"/>
    <w:pPr>
      <w:spacing w:before="100" w:beforeAutospacing="1" w:after="100" w:afterAutospacing="1" w:line="240" w:lineRule="auto"/>
      <w:ind w:left="120"/>
    </w:pPr>
    <w:rPr>
      <w:rFonts w:ascii="Arial" w:eastAsia="Times New Roman" w:hAnsi="Arial" w:cs="Arial"/>
      <w:color w:val="000000"/>
      <w:sz w:val="20"/>
      <w:szCs w:val="20"/>
    </w:rPr>
  </w:style>
  <w:style w:type="paragraph" w:customStyle="1" w:styleId="indexitem">
    <w:name w:val="indexitem"/>
    <w:basedOn w:val="a"/>
    <w:rsid w:val="00821BD4"/>
    <w:pPr>
      <w:spacing w:before="100" w:beforeAutospacing="1" w:after="100" w:afterAutospacing="1" w:line="240" w:lineRule="auto"/>
      <w:ind w:left="120"/>
    </w:pPr>
    <w:rPr>
      <w:rFonts w:ascii="Arial" w:eastAsia="Times New Roman" w:hAnsi="Arial" w:cs="Arial"/>
      <w:color w:val="000000"/>
      <w:sz w:val="20"/>
      <w:szCs w:val="20"/>
    </w:rPr>
  </w:style>
  <w:style w:type="paragraph" w:customStyle="1" w:styleId="indexprocname">
    <w:name w:val="indexprocname"/>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0"/>
      <w:szCs w:val="20"/>
    </w:rPr>
  </w:style>
  <w:style w:type="paragraph" w:customStyle="1" w:styleId="indextitle">
    <w:name w:val="indextitle"/>
    <w:basedOn w:val="a"/>
    <w:rsid w:val="00821BD4"/>
    <w:pPr>
      <w:shd w:val="clear" w:color="auto" w:fill="FAFBFE"/>
      <w:spacing w:before="100" w:beforeAutospacing="1" w:after="100" w:afterAutospacing="1" w:line="240" w:lineRule="auto"/>
    </w:pPr>
    <w:rPr>
      <w:rFonts w:ascii="Arial" w:eastAsia="Times New Roman" w:hAnsi="Arial" w:cs="Arial"/>
      <w:b/>
      <w:bCs/>
      <w:i/>
      <w:iCs/>
      <w:color w:val="112277"/>
      <w:sz w:val="20"/>
      <w:szCs w:val="20"/>
    </w:rPr>
  </w:style>
  <w:style w:type="paragraph" w:customStyle="1" w:styleId="layoutcontainer">
    <w:name w:val="layoutcontainer"/>
    <w:basedOn w:val="a"/>
    <w:rsid w:val="00821BD4"/>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region">
    <w:name w:val="layoutregion"/>
    <w:basedOn w:val="a"/>
    <w:rsid w:val="00821BD4"/>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content">
    <w:name w:val="linecontent"/>
    <w:basedOn w:val="a"/>
    <w:rsid w:val="00821BD4"/>
    <w:pPr>
      <w:pBdr>
        <w:top w:val="single" w:sz="2" w:space="0" w:color="C1C1C1"/>
        <w:left w:val="single" w:sz="2" w:space="0" w:color="C1C1C1"/>
        <w:bottom w:val="single" w:sz="6" w:space="0" w:color="C1C1C1"/>
        <w:right w:val="single" w:sz="6" w:space="0" w:color="C1C1C1"/>
      </w:pBd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List1">
    <w:name w:val="List1"/>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10">
    <w:name w:val="list10"/>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2">
    <w:name w:val="list2"/>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3">
    <w:name w:val="list3"/>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4">
    <w:name w:val="list4"/>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5">
    <w:name w:val="list5"/>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6">
    <w:name w:val="list6"/>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7">
    <w:name w:val="list7"/>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8">
    <w:name w:val="list8"/>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9">
    <w:name w:val="list9"/>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item">
    <w:name w:val="listitem"/>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item10">
    <w:name w:val="listitem10"/>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item2">
    <w:name w:val="listitem2"/>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item3">
    <w:name w:val="listitem3"/>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item4">
    <w:name w:val="listitem4"/>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item5">
    <w:name w:val="listitem5"/>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item6">
    <w:name w:val="listitem6"/>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item7">
    <w:name w:val="listitem7"/>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item8">
    <w:name w:val="listitem8"/>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listitem9">
    <w:name w:val="listitem9"/>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note">
    <w:name w:val="note"/>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notebanner">
    <w:name w:val="notebanner"/>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0"/>
      <w:szCs w:val="20"/>
    </w:rPr>
  </w:style>
  <w:style w:type="paragraph" w:customStyle="1" w:styleId="notecontent">
    <w:name w:val="notecontent"/>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notecontentfixed">
    <w:name w:val="notecontentfixed"/>
    <w:basedOn w:val="a"/>
    <w:rsid w:val="00821BD4"/>
    <w:pPr>
      <w:shd w:val="clear" w:color="auto" w:fill="FAFBFE"/>
      <w:spacing w:before="100" w:beforeAutospacing="1" w:after="100" w:afterAutospacing="1" w:line="240" w:lineRule="auto"/>
    </w:pPr>
    <w:rPr>
      <w:rFonts w:ascii="Courier New" w:eastAsia="Times New Roman" w:hAnsi="Courier New" w:cs="Courier New"/>
      <w:color w:val="112277"/>
      <w:sz w:val="20"/>
      <w:szCs w:val="20"/>
    </w:rPr>
  </w:style>
  <w:style w:type="paragraph" w:customStyle="1" w:styleId="output">
    <w:name w:val="output"/>
    <w:basedOn w:val="a"/>
    <w:rsid w:val="00821BD4"/>
    <w:pPr>
      <w:pBdr>
        <w:top w:val="single" w:sz="6" w:space="0" w:color="C1C1C1"/>
        <w:left w:val="single" w:sz="6" w:space="0" w:color="C1C1C1"/>
        <w:bottom w:val="single" w:sz="6" w:space="0" w:color="C1C1C1"/>
        <w:right w:val="single" w:sz="6" w:space="0" w:color="C1C1C1"/>
      </w:pBd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pageno">
    <w:name w:val="pageno"/>
    <w:basedOn w:val="a"/>
    <w:rsid w:val="00821BD4"/>
    <w:pPr>
      <w:shd w:val="clear" w:color="auto" w:fill="FAFBFE"/>
      <w:spacing w:before="100" w:beforeAutospacing="1" w:after="100" w:afterAutospacing="1" w:line="240" w:lineRule="auto"/>
      <w:jc w:val="right"/>
      <w:textAlignment w:val="top"/>
    </w:pPr>
    <w:rPr>
      <w:rFonts w:ascii="Arial" w:eastAsia="Times New Roman" w:hAnsi="Arial" w:cs="Arial"/>
      <w:b/>
      <w:bCs/>
      <w:color w:val="112277"/>
      <w:sz w:val="20"/>
      <w:szCs w:val="20"/>
    </w:rPr>
  </w:style>
  <w:style w:type="paragraph" w:customStyle="1" w:styleId="pages">
    <w:name w:val="pages"/>
    <w:basedOn w:val="a"/>
    <w:rsid w:val="00821BD4"/>
    <w:pPr>
      <w:shd w:val="clear" w:color="auto" w:fill="FAFBFE"/>
      <w:spacing w:before="100" w:beforeAutospacing="1" w:after="100" w:afterAutospacing="1" w:line="240" w:lineRule="auto"/>
      <w:ind w:left="120" w:right="120"/>
    </w:pPr>
    <w:rPr>
      <w:rFonts w:ascii="Arial" w:eastAsia="Times New Roman" w:hAnsi="Arial" w:cs="Arial"/>
      <w:color w:val="000000"/>
      <w:sz w:val="20"/>
      <w:szCs w:val="20"/>
    </w:rPr>
  </w:style>
  <w:style w:type="paragraph" w:customStyle="1" w:styleId="pagesdate">
    <w:name w:val="pagesdate"/>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pagesitem">
    <w:name w:val="pagesitem"/>
    <w:basedOn w:val="a"/>
    <w:rsid w:val="00821BD4"/>
    <w:pPr>
      <w:spacing w:before="100" w:beforeAutospacing="1" w:after="100" w:afterAutospacing="1" w:line="240" w:lineRule="auto"/>
      <w:ind w:left="120"/>
    </w:pPr>
    <w:rPr>
      <w:rFonts w:ascii="Arial" w:eastAsia="Times New Roman" w:hAnsi="Arial" w:cs="Arial"/>
      <w:color w:val="000000"/>
      <w:sz w:val="20"/>
      <w:szCs w:val="20"/>
    </w:rPr>
  </w:style>
  <w:style w:type="paragraph" w:customStyle="1" w:styleId="pagesproclabel">
    <w:name w:val="pagesproclabel"/>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0"/>
      <w:szCs w:val="20"/>
    </w:rPr>
  </w:style>
  <w:style w:type="paragraph" w:customStyle="1" w:styleId="pagesprocname">
    <w:name w:val="pagesprocname"/>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0"/>
      <w:szCs w:val="20"/>
    </w:rPr>
  </w:style>
  <w:style w:type="paragraph" w:customStyle="1" w:styleId="pagestitle">
    <w:name w:val="pagestitle"/>
    <w:basedOn w:val="a"/>
    <w:rsid w:val="00821BD4"/>
    <w:pPr>
      <w:shd w:val="clear" w:color="auto" w:fill="FAFBFE"/>
      <w:spacing w:before="100" w:beforeAutospacing="1" w:after="100" w:afterAutospacing="1" w:line="240" w:lineRule="auto"/>
    </w:pPr>
    <w:rPr>
      <w:rFonts w:ascii="Arial" w:eastAsia="Times New Roman" w:hAnsi="Arial" w:cs="Arial"/>
      <w:b/>
      <w:bCs/>
      <w:i/>
      <w:iCs/>
      <w:color w:val="112277"/>
      <w:sz w:val="20"/>
      <w:szCs w:val="20"/>
    </w:rPr>
  </w:style>
  <w:style w:type="paragraph" w:customStyle="1" w:styleId="paragraph">
    <w:name w:val="paragraph"/>
    <w:basedOn w:val="a"/>
    <w:rsid w:val="00821BD4"/>
    <w:pP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parskip">
    <w:name w:val="parskip"/>
    <w:basedOn w:val="a"/>
    <w:rsid w:val="00821BD4"/>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Arial" w:eastAsia="Times New Roman" w:hAnsi="Arial" w:cs="Arial"/>
      <w:b/>
      <w:bCs/>
      <w:sz w:val="20"/>
      <w:szCs w:val="20"/>
    </w:rPr>
  </w:style>
  <w:style w:type="paragraph" w:customStyle="1" w:styleId="prepage">
    <w:name w:val="prepage"/>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proctitle">
    <w:name w:val="proctitle"/>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0"/>
      <w:szCs w:val="20"/>
    </w:rPr>
  </w:style>
  <w:style w:type="paragraph" w:customStyle="1" w:styleId="proctitlefixed">
    <w:name w:val="proctitlefixed"/>
    <w:basedOn w:val="a"/>
    <w:rsid w:val="00821BD4"/>
    <w:pPr>
      <w:shd w:val="clear" w:color="auto" w:fill="FAFBFE"/>
      <w:spacing w:before="100" w:beforeAutospacing="1" w:after="100" w:afterAutospacing="1" w:line="240" w:lineRule="auto"/>
    </w:pPr>
    <w:rPr>
      <w:rFonts w:ascii="Courier New" w:eastAsia="Times New Roman" w:hAnsi="Courier New" w:cs="Courier New"/>
      <w:b/>
      <w:bCs/>
      <w:color w:val="112277"/>
      <w:sz w:val="20"/>
      <w:szCs w:val="20"/>
    </w:rPr>
  </w:style>
  <w:style w:type="paragraph" w:customStyle="1" w:styleId="rowfooter">
    <w:name w:val="rowfooter"/>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Arial" w:eastAsia="Times New Roman" w:hAnsi="Arial" w:cs="Arial"/>
      <w:b/>
      <w:bCs/>
      <w:color w:val="112277"/>
      <w:sz w:val="20"/>
      <w:szCs w:val="20"/>
    </w:rPr>
  </w:style>
  <w:style w:type="paragraph" w:customStyle="1" w:styleId="rowfooteremphasis">
    <w:name w:val="rowfooteremphasis"/>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Arial" w:eastAsia="Times New Roman" w:hAnsi="Arial" w:cs="Arial"/>
      <w:i/>
      <w:iCs/>
      <w:color w:val="112277"/>
      <w:sz w:val="20"/>
      <w:szCs w:val="20"/>
    </w:rPr>
  </w:style>
  <w:style w:type="paragraph" w:customStyle="1" w:styleId="rowfooteremphasisfixed">
    <w:name w:val="rowfooteremphasisfixed"/>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Courier New" w:eastAsia="Times New Roman" w:hAnsi="Courier New" w:cs="Courier New"/>
      <w:i/>
      <w:iCs/>
      <w:color w:val="112277"/>
      <w:sz w:val="20"/>
      <w:szCs w:val="20"/>
    </w:rPr>
  </w:style>
  <w:style w:type="paragraph" w:customStyle="1" w:styleId="rowfooterempty">
    <w:name w:val="rowfooterempty"/>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Arial" w:eastAsia="Times New Roman" w:hAnsi="Arial" w:cs="Arial"/>
      <w:b/>
      <w:bCs/>
      <w:color w:val="112277"/>
      <w:sz w:val="20"/>
      <w:szCs w:val="20"/>
    </w:rPr>
  </w:style>
  <w:style w:type="paragraph" w:customStyle="1" w:styleId="rowfooterfixed">
    <w:name w:val="rowfooterfixed"/>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Courier New" w:eastAsia="Times New Roman" w:hAnsi="Courier New" w:cs="Courier New"/>
      <w:color w:val="112277"/>
      <w:sz w:val="20"/>
      <w:szCs w:val="20"/>
    </w:rPr>
  </w:style>
  <w:style w:type="paragraph" w:customStyle="1" w:styleId="rowfooterstrong">
    <w:name w:val="rowfooterstrong"/>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Arial" w:eastAsia="Times New Roman" w:hAnsi="Arial" w:cs="Arial"/>
      <w:b/>
      <w:bCs/>
      <w:color w:val="112277"/>
      <w:sz w:val="20"/>
      <w:szCs w:val="20"/>
    </w:rPr>
  </w:style>
  <w:style w:type="paragraph" w:customStyle="1" w:styleId="rowfooterstrongfixed">
    <w:name w:val="rowfooterstrongfixed"/>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Courier New" w:eastAsia="Times New Roman" w:hAnsi="Courier New" w:cs="Courier New"/>
      <w:b/>
      <w:bCs/>
      <w:color w:val="112277"/>
      <w:sz w:val="20"/>
      <w:szCs w:val="20"/>
    </w:rPr>
  </w:style>
  <w:style w:type="paragraph" w:customStyle="1" w:styleId="rowheader">
    <w:name w:val="rowheader"/>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Arial" w:eastAsia="Times New Roman" w:hAnsi="Arial" w:cs="Arial"/>
      <w:b/>
      <w:bCs/>
      <w:color w:val="112277"/>
      <w:sz w:val="20"/>
      <w:szCs w:val="20"/>
    </w:rPr>
  </w:style>
  <w:style w:type="paragraph" w:customStyle="1" w:styleId="rowheaderemphasis">
    <w:name w:val="rowheaderemphasis"/>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Arial" w:eastAsia="Times New Roman" w:hAnsi="Arial" w:cs="Arial"/>
      <w:i/>
      <w:iCs/>
      <w:color w:val="112277"/>
      <w:sz w:val="20"/>
      <w:szCs w:val="20"/>
    </w:rPr>
  </w:style>
  <w:style w:type="paragraph" w:customStyle="1" w:styleId="rowheaderemphasisfixed">
    <w:name w:val="rowheaderemphasisfixed"/>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Courier New" w:eastAsia="Times New Roman" w:hAnsi="Courier New" w:cs="Courier New"/>
      <w:i/>
      <w:iCs/>
      <w:color w:val="112277"/>
      <w:sz w:val="20"/>
      <w:szCs w:val="20"/>
    </w:rPr>
  </w:style>
  <w:style w:type="paragraph" w:customStyle="1" w:styleId="rowheaderempty">
    <w:name w:val="rowheaderempty"/>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Arial" w:eastAsia="Times New Roman" w:hAnsi="Arial" w:cs="Arial"/>
      <w:b/>
      <w:bCs/>
      <w:color w:val="112277"/>
      <w:sz w:val="20"/>
      <w:szCs w:val="20"/>
    </w:rPr>
  </w:style>
  <w:style w:type="paragraph" w:customStyle="1" w:styleId="rowheaderfixed">
    <w:name w:val="rowheaderfixed"/>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Courier New" w:eastAsia="Times New Roman" w:hAnsi="Courier New" w:cs="Courier New"/>
      <w:color w:val="112277"/>
      <w:sz w:val="20"/>
      <w:szCs w:val="20"/>
    </w:rPr>
  </w:style>
  <w:style w:type="paragraph" w:customStyle="1" w:styleId="rowheaderstrong">
    <w:name w:val="rowheaderstrong"/>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Arial" w:eastAsia="Times New Roman" w:hAnsi="Arial" w:cs="Arial"/>
      <w:b/>
      <w:bCs/>
      <w:color w:val="112277"/>
      <w:sz w:val="20"/>
      <w:szCs w:val="20"/>
    </w:rPr>
  </w:style>
  <w:style w:type="paragraph" w:customStyle="1" w:styleId="rowheaderstrongfixed">
    <w:name w:val="rowheaderstrongfixed"/>
    <w:basedOn w:val="a"/>
    <w:rsid w:val="00821BD4"/>
    <w:pPr>
      <w:pBdr>
        <w:top w:val="single" w:sz="2" w:space="0" w:color="B0B7BB"/>
        <w:left w:val="single" w:sz="2" w:space="0" w:color="B0B7BB"/>
        <w:bottom w:val="single" w:sz="6" w:space="0" w:color="B0B7BB"/>
        <w:right w:val="single" w:sz="6" w:space="0" w:color="B0B7BB"/>
      </w:pBdr>
      <w:shd w:val="clear" w:color="auto" w:fill="EDF2F9"/>
      <w:spacing w:before="100" w:beforeAutospacing="1" w:after="100" w:afterAutospacing="1" w:line="240" w:lineRule="auto"/>
    </w:pPr>
    <w:rPr>
      <w:rFonts w:ascii="Courier New" w:eastAsia="Times New Roman" w:hAnsi="Courier New" w:cs="Courier New"/>
      <w:b/>
      <w:bCs/>
      <w:color w:val="112277"/>
      <w:sz w:val="20"/>
      <w:szCs w:val="20"/>
    </w:rPr>
  </w:style>
  <w:style w:type="paragraph" w:customStyle="1" w:styleId="systemfooter">
    <w:name w:val="systemfooter"/>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systemfooter10">
    <w:name w:val="systemfooter10"/>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systemfooter2">
    <w:name w:val="systemfooter2"/>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systemfooter3">
    <w:name w:val="systemfooter3"/>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systemfooter4">
    <w:name w:val="systemfooter4"/>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systemfooter5">
    <w:name w:val="systemfooter5"/>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systemfooter6">
    <w:name w:val="systemfooter6"/>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systemfooter7">
    <w:name w:val="systemfooter7"/>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systemfooter8">
    <w:name w:val="systemfooter8"/>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systemfooter9">
    <w:name w:val="systemfooter9"/>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systemtitle">
    <w:name w:val="systemtitle"/>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4"/>
      <w:szCs w:val="24"/>
    </w:rPr>
  </w:style>
  <w:style w:type="paragraph" w:customStyle="1" w:styleId="systemtitle10">
    <w:name w:val="systemtitle10"/>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4"/>
      <w:szCs w:val="24"/>
    </w:rPr>
  </w:style>
  <w:style w:type="paragraph" w:customStyle="1" w:styleId="systemtitle2">
    <w:name w:val="systemtitle2"/>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4"/>
      <w:szCs w:val="24"/>
    </w:rPr>
  </w:style>
  <w:style w:type="paragraph" w:customStyle="1" w:styleId="systemtitle3">
    <w:name w:val="systemtitle3"/>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4"/>
      <w:szCs w:val="24"/>
    </w:rPr>
  </w:style>
  <w:style w:type="paragraph" w:customStyle="1" w:styleId="systemtitle4">
    <w:name w:val="systemtitle4"/>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4"/>
      <w:szCs w:val="24"/>
    </w:rPr>
  </w:style>
  <w:style w:type="paragraph" w:customStyle="1" w:styleId="systemtitle5">
    <w:name w:val="systemtitle5"/>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4"/>
      <w:szCs w:val="24"/>
    </w:rPr>
  </w:style>
  <w:style w:type="paragraph" w:customStyle="1" w:styleId="systemtitle6">
    <w:name w:val="systemtitle6"/>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4"/>
      <w:szCs w:val="24"/>
    </w:rPr>
  </w:style>
  <w:style w:type="paragraph" w:customStyle="1" w:styleId="systemtitle7">
    <w:name w:val="systemtitle7"/>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4"/>
      <w:szCs w:val="24"/>
    </w:rPr>
  </w:style>
  <w:style w:type="paragraph" w:customStyle="1" w:styleId="systemtitle8">
    <w:name w:val="systemtitle8"/>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4"/>
      <w:szCs w:val="24"/>
    </w:rPr>
  </w:style>
  <w:style w:type="paragraph" w:customStyle="1" w:styleId="systemtitle9">
    <w:name w:val="systemtitle9"/>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4"/>
      <w:szCs w:val="24"/>
    </w:rPr>
  </w:style>
  <w:style w:type="paragraph" w:customStyle="1" w:styleId="systitleandfootercontainer">
    <w:name w:val="systitleandfootercontainer"/>
    <w:basedOn w:val="a"/>
    <w:rsid w:val="00821BD4"/>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table">
    <w:name w:val="table"/>
    <w:basedOn w:val="a"/>
    <w:rsid w:val="00821BD4"/>
    <w:pPr>
      <w:pBdr>
        <w:top w:val="single" w:sz="6" w:space="0" w:color="C1C1C1"/>
        <w:left w:val="single" w:sz="6" w:space="0" w:color="C1C1C1"/>
        <w:bottom w:val="single" w:sz="2" w:space="0" w:color="C1C1C1"/>
        <w:right w:val="single" w:sz="2" w:space="0" w:color="C1C1C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stackedvalue">
    <w:name w:val="top_stacked_value"/>
    <w:basedOn w:val="a"/>
    <w:rsid w:val="00821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stackedvalue">
    <w:name w:val="middle_stacked_value"/>
    <w:basedOn w:val="a"/>
    <w:rsid w:val="00821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stackedvalue">
    <w:name w:val="bottom_stacked_value"/>
    <w:basedOn w:val="a"/>
    <w:rsid w:val="00821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andnotecontainer">
    <w:name w:val="titleandnotecontainer"/>
    <w:basedOn w:val="a"/>
    <w:rsid w:val="00821BD4"/>
    <w:pPr>
      <w:pBdr>
        <w:top w:val="single" w:sz="2" w:space="0" w:color="000000"/>
        <w:left w:val="single" w:sz="2" w:space="0" w:color="000000"/>
        <w:bottom w:val="single" w:sz="2" w:space="0" w:color="000000"/>
        <w:right w:val="single" w:sz="2" w:space="0" w:color="000000"/>
      </w:pBdr>
      <w:shd w:val="clear" w:color="auto" w:fill="FAFBFE"/>
      <w:spacing w:before="100" w:beforeAutospacing="1" w:after="100" w:afterAutospacing="1" w:line="240" w:lineRule="auto"/>
    </w:pPr>
    <w:rPr>
      <w:rFonts w:ascii="Arial" w:eastAsia="Times New Roman" w:hAnsi="Arial" w:cs="Arial"/>
      <w:color w:val="000000"/>
      <w:sz w:val="20"/>
      <w:szCs w:val="20"/>
    </w:rPr>
  </w:style>
  <w:style w:type="paragraph" w:customStyle="1" w:styleId="titlesandfooters">
    <w:name w:val="titlesandfooters"/>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0"/>
      <w:szCs w:val="20"/>
    </w:rPr>
  </w:style>
  <w:style w:type="paragraph" w:customStyle="1" w:styleId="usertext">
    <w:name w:val="usertext"/>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warnbanner">
    <w:name w:val="warnbanner"/>
    <w:basedOn w:val="a"/>
    <w:rsid w:val="00821BD4"/>
    <w:pPr>
      <w:shd w:val="clear" w:color="auto" w:fill="FAFBFE"/>
      <w:spacing w:before="100" w:beforeAutospacing="1" w:after="100" w:afterAutospacing="1" w:line="240" w:lineRule="auto"/>
    </w:pPr>
    <w:rPr>
      <w:rFonts w:ascii="Arial" w:eastAsia="Times New Roman" w:hAnsi="Arial" w:cs="Arial"/>
      <w:b/>
      <w:bCs/>
      <w:color w:val="112277"/>
      <w:sz w:val="20"/>
      <w:szCs w:val="20"/>
    </w:rPr>
  </w:style>
  <w:style w:type="paragraph" w:customStyle="1" w:styleId="warncontent">
    <w:name w:val="warncontent"/>
    <w:basedOn w:val="a"/>
    <w:rsid w:val="00821BD4"/>
    <w:pPr>
      <w:shd w:val="clear" w:color="auto" w:fill="FAFBFE"/>
      <w:spacing w:before="100" w:beforeAutospacing="1" w:after="100" w:afterAutospacing="1" w:line="240" w:lineRule="auto"/>
    </w:pPr>
    <w:rPr>
      <w:rFonts w:ascii="Arial" w:eastAsia="Times New Roman" w:hAnsi="Arial" w:cs="Arial"/>
      <w:color w:val="112277"/>
      <w:sz w:val="20"/>
      <w:szCs w:val="20"/>
    </w:rPr>
  </w:style>
  <w:style w:type="paragraph" w:customStyle="1" w:styleId="warncontentfixed">
    <w:name w:val="warncontentfixed"/>
    <w:basedOn w:val="a"/>
    <w:rsid w:val="00821BD4"/>
    <w:pPr>
      <w:shd w:val="clear" w:color="auto" w:fill="FAFBFE"/>
      <w:spacing w:before="100" w:beforeAutospacing="1" w:after="100" w:afterAutospacing="1" w:line="240" w:lineRule="auto"/>
    </w:pPr>
    <w:rPr>
      <w:rFonts w:ascii="Courier New" w:eastAsia="Times New Roman" w:hAnsi="Courier New" w:cs="Courier New"/>
      <w:color w:val="112277"/>
      <w:sz w:val="20"/>
      <w:szCs w:val="20"/>
    </w:rPr>
  </w:style>
  <w:style w:type="paragraph" w:customStyle="1" w:styleId="l">
    <w:name w:val="l"/>
    <w:basedOn w:val="a"/>
    <w:rsid w:val="00821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
    <w:name w:val="c"/>
    <w:basedOn w:val="a"/>
    <w:rsid w:val="00821BD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
    <w:name w:val="r"/>
    <w:basedOn w:val="a"/>
    <w:rsid w:val="00821BD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
    <w:name w:val="d"/>
    <w:basedOn w:val="a"/>
    <w:rsid w:val="00821BD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j">
    <w:name w:val="j"/>
    <w:basedOn w:val="a"/>
    <w:rsid w:val="00821BD4"/>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t">
    <w:name w:val="t"/>
    <w:basedOn w:val="a"/>
    <w:rsid w:val="00821BD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
    <w:name w:val="m"/>
    <w:basedOn w:val="a"/>
    <w:rsid w:val="00821BD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
    <w:name w:val="b"/>
    <w:basedOn w:val="a"/>
    <w:rsid w:val="00821BD4"/>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stackedcell">
    <w:name w:val="stacked_cell"/>
    <w:basedOn w:val="a"/>
    <w:rsid w:val="00821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821BD4"/>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6">
    <w:name w:val="xl66"/>
    <w:basedOn w:val="a"/>
    <w:rsid w:val="00821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821B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8">
    <w:name w:val="xl68"/>
    <w:basedOn w:val="a"/>
    <w:rsid w:val="00821BD4"/>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821B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821BD4"/>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821BD4"/>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821BD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821BD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821BD4"/>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821BD4"/>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821BD4"/>
    <w:pP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7">
    <w:name w:val="xl77"/>
    <w:basedOn w:val="a"/>
    <w:rsid w:val="00821BD4"/>
    <w:pPr>
      <w:shd w:val="clear" w:color="000000" w:fill="00B0F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821BD4"/>
    <w:pP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9">
    <w:name w:val="xl79"/>
    <w:basedOn w:val="a"/>
    <w:rsid w:val="00821BD4"/>
    <w:pP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821BD4"/>
    <w:pP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3">
    <w:name w:val="Normal (Web)"/>
    <w:basedOn w:val="a"/>
    <w:uiPriority w:val="99"/>
    <w:semiHidden/>
    <w:unhideWhenUsed/>
    <w:rsid w:val="00E714E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32723">
      <w:bodyDiv w:val="1"/>
      <w:marLeft w:val="0"/>
      <w:marRight w:val="0"/>
      <w:marTop w:val="0"/>
      <w:marBottom w:val="0"/>
      <w:divBdr>
        <w:top w:val="none" w:sz="0" w:space="0" w:color="auto"/>
        <w:left w:val="none" w:sz="0" w:space="0" w:color="auto"/>
        <w:bottom w:val="none" w:sz="0" w:space="0" w:color="auto"/>
        <w:right w:val="none" w:sz="0" w:space="0" w:color="auto"/>
      </w:divBdr>
    </w:div>
    <w:div w:id="20776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811390709028504E-2"/>
          <c:y val="0.20748873494843087"/>
          <c:w val="0.89624506726868935"/>
          <c:h val="0.71013839106790932"/>
        </c:manualLayout>
      </c:layout>
      <c:barChart>
        <c:barDir val="col"/>
        <c:grouping val="clustered"/>
        <c:varyColors val="0"/>
        <c:ser>
          <c:idx val="0"/>
          <c:order val="0"/>
          <c:invertIfNegative val="0"/>
          <c:cat>
            <c:strRef>
              <c:f>US_only!$A$1:$A$2</c:f>
              <c:strCache>
                <c:ptCount val="2"/>
                <c:pt idx="0">
                  <c:v>ew</c:v>
                </c:pt>
                <c:pt idx="1">
                  <c:v>vw</c:v>
                </c:pt>
              </c:strCache>
            </c:strRef>
          </c:cat>
          <c:val>
            <c:numRef>
              <c:f>US_only!$B$1:$B$2</c:f>
              <c:numCache>
                <c:formatCode>General</c:formatCode>
                <c:ptCount val="2"/>
                <c:pt idx="0">
                  <c:v>0.28292980000000001</c:v>
                </c:pt>
                <c:pt idx="1">
                  <c:v>0.306535</c:v>
                </c:pt>
              </c:numCache>
            </c:numRef>
          </c:val>
          <c:extLst xmlns:c16r2="http://schemas.microsoft.com/office/drawing/2015/06/chart">
            <c:ext xmlns:c16="http://schemas.microsoft.com/office/drawing/2014/chart" uri="{C3380CC4-5D6E-409C-BE32-E72D297353CC}">
              <c16:uniqueId val="{00000000-CDE6-4F49-A61D-17B37312F286}"/>
            </c:ext>
          </c:extLst>
        </c:ser>
        <c:dLbls>
          <c:showLegendKey val="0"/>
          <c:showVal val="0"/>
          <c:showCatName val="0"/>
          <c:showSerName val="0"/>
          <c:showPercent val="0"/>
          <c:showBubbleSize val="0"/>
        </c:dLbls>
        <c:gapWidth val="150"/>
        <c:axId val="514932088"/>
        <c:axId val="514928560"/>
      </c:barChart>
      <c:catAx>
        <c:axId val="514932088"/>
        <c:scaling>
          <c:orientation val="minMax"/>
        </c:scaling>
        <c:delete val="0"/>
        <c:axPos val="b"/>
        <c:numFmt formatCode="General" sourceLinked="0"/>
        <c:majorTickMark val="out"/>
        <c:minorTickMark val="none"/>
        <c:tickLblPos val="none"/>
        <c:crossAx val="514928560"/>
        <c:crosses val="autoZero"/>
        <c:auto val="1"/>
        <c:lblAlgn val="ctr"/>
        <c:lblOffset val="100"/>
        <c:noMultiLvlLbl val="0"/>
      </c:catAx>
      <c:valAx>
        <c:axId val="514928560"/>
        <c:scaling>
          <c:orientation val="minMax"/>
          <c:max val="0.4"/>
          <c:min val="0"/>
        </c:scaling>
        <c:delete val="0"/>
        <c:axPos val="l"/>
        <c:majorGridlines>
          <c:spPr>
            <a:ln>
              <a:noFill/>
            </a:ln>
          </c:spPr>
        </c:majorGridlines>
        <c:numFmt formatCode="General" sourceLinked="1"/>
        <c:majorTickMark val="out"/>
        <c:minorTickMark val="none"/>
        <c:tickLblPos val="nextTo"/>
        <c:crossAx val="514932088"/>
        <c:crosses val="autoZero"/>
        <c:crossBetween val="between"/>
      </c:valAx>
    </c:plotArea>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0.01701</cdr:y>
    </cdr:from>
    <cdr:to>
      <cdr:x>1</cdr:x>
      <cdr:y>0.12306</cdr:y>
    </cdr:to>
    <cdr:sp macro="" textlink="">
      <cdr:nvSpPr>
        <cdr:cNvPr id="2" name="TextBox 1"/>
        <cdr:cNvSpPr txBox="1"/>
      </cdr:nvSpPr>
      <cdr:spPr>
        <a:xfrm xmlns:a="http://schemas.openxmlformats.org/drawingml/2006/main">
          <a:off x="0" y="48242"/>
          <a:ext cx="5486400" cy="300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0" dirty="0" smtClean="0">
              <a:latin typeface="Times New Roman" pitchFamily="18" charset="0"/>
              <a:cs typeface="Times New Roman" pitchFamily="18" charset="0"/>
            </a:rPr>
            <a:t>Average of proportion of firms’ annual investment in 4th fiscal quarter</a:t>
          </a:r>
          <a:endParaRPr lang="en-US" sz="1100" b="0" dirty="0">
            <a:latin typeface="Times New Roman" pitchFamily="18" charset="0"/>
            <a:cs typeface="Times New Roman" pitchFamily="18" charset="0"/>
          </a:endParaRPr>
        </a:p>
      </cdr:txBody>
    </cdr:sp>
  </cdr:relSizeAnchor>
  <cdr:relSizeAnchor xmlns:cdr="http://schemas.openxmlformats.org/drawingml/2006/chartDrawing">
    <cdr:from>
      <cdr:x>0.17815</cdr:x>
      <cdr:y>0.91066</cdr:y>
    </cdr:from>
    <cdr:to>
      <cdr:x>0.43647</cdr:x>
      <cdr:y>0.99135</cdr:y>
    </cdr:to>
    <cdr:sp macro="" textlink="">
      <cdr:nvSpPr>
        <cdr:cNvPr id="3" name="Text Box 2"/>
        <cdr:cNvSpPr txBox="1"/>
      </cdr:nvSpPr>
      <cdr:spPr>
        <a:xfrm xmlns:a="http://schemas.openxmlformats.org/drawingml/2006/main">
          <a:off x="756797" y="2006600"/>
          <a:ext cx="1097403" cy="177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900">
              <a:latin typeface="Times New Roman" pitchFamily="18" charset="0"/>
              <a:cs typeface="Times New Roman" pitchFamily="18" charset="0"/>
            </a:rPr>
            <a:t>Equal-weighted</a:t>
          </a:r>
        </a:p>
      </cdr:txBody>
    </cdr:sp>
  </cdr:relSizeAnchor>
  <cdr:relSizeAnchor xmlns:cdr="http://schemas.openxmlformats.org/drawingml/2006/chartDrawing">
    <cdr:from>
      <cdr:x>0.20833</cdr:x>
      <cdr:y>0.92833</cdr:y>
    </cdr:from>
    <cdr:to>
      <cdr:x>0.41782</cdr:x>
      <cdr:y>1</cdr:y>
    </cdr:to>
    <cdr:sp macro="" textlink="">
      <cdr:nvSpPr>
        <cdr:cNvPr id="4" name="Text Box 1"/>
        <cdr:cNvSpPr txBox="1"/>
      </cdr:nvSpPr>
      <cdr:spPr>
        <a:xfrm xmlns:a="http://schemas.openxmlformats.org/drawingml/2006/main">
          <a:off x="1143000" y="2647950"/>
          <a:ext cx="1149350" cy="203200"/>
        </a:xfrm>
        <a:prstGeom xmlns:a="http://schemas.openxmlformats.org/drawingml/2006/main" prst="rect">
          <a:avLst/>
        </a:prstGeom>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9067-2048-40D0-AB4E-A2B99FBE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42506</Words>
  <Characters>242288</Characters>
  <Application>Microsoft Office Word</Application>
  <DocSecurity>0</DocSecurity>
  <Lines>2019</Lines>
  <Paragraphs>568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Bochen Li</dc:creator>
  <cp:lastModifiedBy>한국경제학회</cp:lastModifiedBy>
  <cp:revision>2</cp:revision>
  <cp:lastPrinted>2017-04-20T21:10:00Z</cp:lastPrinted>
  <dcterms:created xsi:type="dcterms:W3CDTF">2017-07-04T08:53:00Z</dcterms:created>
  <dcterms:modified xsi:type="dcterms:W3CDTF">2017-07-04T08:53:00Z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e987fbe0-20e6-350e-9900-da193f35be69</vt:lpwstr>
  </property>
  <property fmtid="{D5CDD505-2E9C-101B-9397-08002B2CF9AE}" pid="4" name="Mendeley Citation Style_1">
    <vt:lpwstr>http://www.zotero.org/styles/journal-of-finance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http://www.zotero.org/styles/journal-of-corporate-finance</vt:lpwstr>
  </property>
  <property fmtid="{D5CDD505-2E9C-101B-9397-08002B2CF9AE}" pid="18" name="Mendeley Recent Style Name 6_1">
    <vt:lpwstr>Journal of Corporate Finance</vt:lpwstr>
  </property>
  <property fmtid="{D5CDD505-2E9C-101B-9397-08002B2CF9AE}" pid="19" name="Mendeley Recent Style Id 7_1">
    <vt:lpwstr>http://www.zotero.org/styles/journal-of-finance</vt:lpwstr>
  </property>
  <property fmtid="{D5CDD505-2E9C-101B-9397-08002B2CF9AE}" pid="20" name="Mendeley Recent Style Name 7_1">
    <vt:lpwstr>Journal of Finance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